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477" w:rsidRPr="00E41477" w:rsidRDefault="00E41477" w:rsidP="00E41477">
      <w:pPr>
        <w:spacing w:after="0" w:line="240" w:lineRule="auto"/>
        <w:ind w:left="360" w:hanging="360"/>
        <w:jc w:val="center"/>
        <w:rPr>
          <w:rFonts w:eastAsia="Times New Roman" w:cs="Times New Roman"/>
          <w:color w:val="000000"/>
          <w:sz w:val="33"/>
          <w:szCs w:val="33"/>
          <w:lang w:eastAsia="el-GR"/>
        </w:rPr>
      </w:pPr>
      <w:r w:rsidRPr="00E41477">
        <w:rPr>
          <w:rFonts w:eastAsia="Times New Roman" w:cs="Times New Roman"/>
          <w:b/>
          <w:bCs/>
          <w:color w:val="26282A"/>
          <w:sz w:val="33"/>
          <w:szCs w:val="33"/>
          <w:lang w:eastAsia="el-GR"/>
        </w:rPr>
        <w:t>ΑΝΑΕΡΟΒΙΑ ΧΩΝΕΥΣΗ ΤΩΝ ΥΓΡΩΝ ΑΠΟΒΛΗΤΩΝ ΑΠΟ ΤΗΝ ΒΙΟΜΗΧΑΝΙΑ ΓΑΛΑΚΤΟΚΟΜΙΚΩΝ/ΤΥΡΟΚΟΜΙΚΩΝ ΠΡΟΪΟΝΤΩΝ</w:t>
      </w:r>
    </w:p>
    <w:p w:rsidR="00E41477" w:rsidRDefault="00E41477" w:rsidP="00E41477">
      <w:pPr>
        <w:spacing w:after="0" w:line="240" w:lineRule="auto"/>
        <w:ind w:left="360" w:hanging="360"/>
        <w:jc w:val="both"/>
        <w:rPr>
          <w:rFonts w:eastAsia="Times New Roman" w:cs="Times New Roman"/>
          <w:color w:val="000000"/>
          <w:sz w:val="33"/>
          <w:szCs w:val="33"/>
          <w:lang w:val="en-US" w:eastAsia="el-GR"/>
        </w:rPr>
      </w:pPr>
    </w:p>
    <w:p w:rsidR="00E41477" w:rsidRDefault="00E41477" w:rsidP="00E41477">
      <w:pPr>
        <w:spacing w:after="0" w:line="240" w:lineRule="auto"/>
        <w:ind w:left="360" w:hanging="360"/>
        <w:jc w:val="both"/>
        <w:rPr>
          <w:rFonts w:eastAsia="Times New Roman" w:cs="Times New Roman"/>
          <w:color w:val="000000"/>
          <w:sz w:val="33"/>
          <w:szCs w:val="33"/>
          <w:lang w:eastAsia="el-GR"/>
        </w:rPr>
      </w:pPr>
      <w:proofErr w:type="spellStart"/>
      <w:r w:rsidRPr="00E41477">
        <w:rPr>
          <w:rFonts w:eastAsia="Times New Roman" w:cs="Times New Roman"/>
          <w:color w:val="000000"/>
          <w:sz w:val="33"/>
          <w:szCs w:val="33"/>
          <w:lang w:eastAsia="el-GR"/>
        </w:rPr>
        <w:t>Διαμαντης</w:t>
      </w:r>
      <w:proofErr w:type="spellEnd"/>
      <w:r w:rsidRPr="00E41477">
        <w:rPr>
          <w:rFonts w:eastAsia="Times New Roman" w:cs="Times New Roman"/>
          <w:color w:val="000000"/>
          <w:sz w:val="33"/>
          <w:szCs w:val="33"/>
          <w:lang w:eastAsia="el-GR"/>
        </w:rPr>
        <w:t> Β</w:t>
      </w:r>
      <w:r>
        <w:rPr>
          <w:rFonts w:eastAsia="Times New Roman" w:cs="Times New Roman"/>
          <w:color w:val="000000"/>
          <w:sz w:val="33"/>
          <w:szCs w:val="33"/>
          <w:lang w:eastAsia="el-GR"/>
        </w:rPr>
        <w:t>ασίλης</w:t>
      </w:r>
      <w:r w:rsidRPr="00E41477">
        <w:rPr>
          <w:rFonts w:eastAsia="Times New Roman" w:cs="Times New Roman"/>
          <w:color w:val="000000"/>
          <w:sz w:val="32"/>
          <w:szCs w:val="33"/>
          <w:vertAlign w:val="superscript"/>
          <w:lang w:eastAsia="el-GR"/>
        </w:rPr>
        <w:t>1</w:t>
      </w:r>
      <w:r>
        <w:rPr>
          <w:rFonts w:eastAsia="Times New Roman" w:cs="Times New Roman"/>
          <w:color w:val="000000"/>
          <w:sz w:val="33"/>
          <w:szCs w:val="33"/>
          <w:lang w:eastAsia="el-GR"/>
        </w:rPr>
        <w:t xml:space="preserve"> </w:t>
      </w:r>
      <w:hyperlink r:id="rId4" w:history="1">
        <w:r w:rsidRPr="005A142A">
          <w:rPr>
            <w:rStyle w:val="-"/>
            <w:sz w:val="28"/>
          </w:rPr>
          <w:t>bdiamant@env.duth.gr</w:t>
        </w:r>
      </w:hyperlink>
      <w:r>
        <w:rPr>
          <w:sz w:val="28"/>
        </w:rPr>
        <w:t xml:space="preserve">, </w:t>
      </w:r>
    </w:p>
    <w:p w:rsidR="00E41477" w:rsidRDefault="00E41477" w:rsidP="00E41477">
      <w:pPr>
        <w:spacing w:after="0" w:line="240" w:lineRule="auto"/>
        <w:ind w:left="360" w:hanging="360"/>
        <w:jc w:val="both"/>
        <w:rPr>
          <w:rFonts w:eastAsia="Times New Roman" w:cs="Times New Roman"/>
          <w:color w:val="000000"/>
          <w:sz w:val="33"/>
          <w:szCs w:val="33"/>
          <w:lang w:eastAsia="el-GR"/>
        </w:rPr>
      </w:pPr>
    </w:p>
    <w:p w:rsidR="00E41477" w:rsidRPr="00E41477" w:rsidRDefault="00E41477" w:rsidP="00E41477">
      <w:pPr>
        <w:spacing w:after="0" w:line="240" w:lineRule="auto"/>
        <w:ind w:left="360" w:hanging="360"/>
        <w:jc w:val="center"/>
        <w:rPr>
          <w:rFonts w:eastAsia="Times New Roman" w:cs="Times New Roman"/>
          <w:color w:val="000000"/>
          <w:sz w:val="33"/>
          <w:szCs w:val="33"/>
          <w:lang w:eastAsia="el-GR"/>
        </w:rPr>
      </w:pPr>
      <w:r w:rsidRPr="00E41477">
        <w:rPr>
          <w:rFonts w:eastAsia="Times New Roman" w:cs="Times New Roman"/>
          <w:color w:val="000000"/>
          <w:sz w:val="33"/>
          <w:szCs w:val="33"/>
          <w:vertAlign w:val="superscript"/>
          <w:lang w:eastAsia="el-GR"/>
        </w:rPr>
        <w:t>1</w:t>
      </w:r>
      <w:r>
        <w:rPr>
          <w:rFonts w:eastAsia="Times New Roman" w:cs="Times New Roman"/>
          <w:color w:val="000000"/>
          <w:sz w:val="33"/>
          <w:szCs w:val="33"/>
          <w:lang w:eastAsia="el-GR"/>
        </w:rPr>
        <w:t>Τμήμα Μηχανικών Περιβάλλοντος Δημοκρίτειο Πανεπιστήμιο Θράκης</w:t>
      </w:r>
    </w:p>
    <w:p w:rsidR="00E41477" w:rsidRPr="00E41477" w:rsidRDefault="00E41477">
      <w:pPr>
        <w:rPr>
          <w:rFonts w:cs="Helvetica"/>
          <w:color w:val="1D2228"/>
          <w:sz w:val="28"/>
          <w:szCs w:val="28"/>
          <w:shd w:val="clear" w:color="auto" w:fill="FFFFFF"/>
        </w:rPr>
      </w:pPr>
    </w:p>
    <w:p w:rsidR="00E41477" w:rsidRPr="00E41477" w:rsidRDefault="00E41477">
      <w:pPr>
        <w:rPr>
          <w:rFonts w:cs="Helvetica"/>
          <w:color w:val="1D2228"/>
          <w:sz w:val="28"/>
          <w:szCs w:val="28"/>
          <w:shd w:val="clear" w:color="auto" w:fill="FFFFFF"/>
        </w:rPr>
      </w:pPr>
    </w:p>
    <w:p w:rsidR="00A65BC2" w:rsidRPr="00E41477" w:rsidRDefault="00813F3D" w:rsidP="00E41477">
      <w:pPr>
        <w:jc w:val="both"/>
      </w:pPr>
      <w:r w:rsidRPr="00E41477">
        <w:rPr>
          <w:rFonts w:cs="Helvetica"/>
          <w:color w:val="1D2228"/>
          <w:sz w:val="28"/>
          <w:szCs w:val="28"/>
          <w:shd w:val="clear" w:color="auto" w:fill="FFFFFF"/>
        </w:rPr>
        <w:t xml:space="preserve">Η εργασία εστιάζει στις εγκαταστάσεις αναερόβιας χώνευσης οι οποίες εφαρμόζονται για την επεξεργασία και παραγωγή βιοαερίου, από υγρά απόβλητα της βιομηχανίας τυροκομικών / γαλακτοκομικών προϊόντων. Ιδιαίτερα δε, δίνεται έμφαση στην παρουσίαση δεδομένων τόσο από προηγούμενες εργαστηριακές μελέτες και έρευνες όσο και από τη λειτουργία μονάδων πλήρους κλίμακας. Σύμφωνα με τους συγγραφείς, τα υγρά απόβλητα του υπό εξέταση κλάδου είναι κατάλληλα για παραγωγή βιοαερίου. Στην αγορά σήμερα επικρατούν κυρίως οι αναερόβιοι αντιδραστήρες υψηλού ρυθμού (κοκκώδους ιλύος) αν και τα συστήματα </w:t>
      </w:r>
      <w:proofErr w:type="spellStart"/>
      <w:r w:rsidRPr="00E41477">
        <w:rPr>
          <w:rFonts w:cs="Helvetica"/>
          <w:color w:val="1D2228"/>
          <w:sz w:val="28"/>
          <w:szCs w:val="28"/>
          <w:shd w:val="clear" w:color="auto" w:fill="FFFFFF"/>
        </w:rPr>
        <w:t>βιο</w:t>
      </w:r>
      <w:proofErr w:type="spellEnd"/>
      <w:r w:rsidRPr="00E41477">
        <w:rPr>
          <w:rFonts w:cs="Helvetica"/>
          <w:color w:val="1D2228"/>
          <w:sz w:val="28"/>
          <w:szCs w:val="28"/>
          <w:shd w:val="clear" w:color="auto" w:fill="FFFFFF"/>
        </w:rPr>
        <w:t>-αντιδραστήρων μεμβρανών τυγχάνουν όλο και μεγαλύτερης αποδοχής. Σε κάθε περίπτωση, απαιτείται κατάλληλος σχεδιασμός των εγκαταστάσεων με στόχο την αντιμετώπιση πιθανών προβλημάτων λόγω της κατακρήμνισης ασβεστίου.</w:t>
      </w:r>
    </w:p>
    <w:sectPr w:rsidR="00A65BC2" w:rsidRPr="00E41477" w:rsidSect="00A65BC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813F3D"/>
    <w:rsid w:val="00262470"/>
    <w:rsid w:val="00813F3D"/>
    <w:rsid w:val="00A65BC2"/>
    <w:rsid w:val="00C37B6E"/>
    <w:rsid w:val="00E414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B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47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E414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72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diamant@env.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164</Words>
  <Characters>887</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2020-12-15T07:02:00Z</dcterms:created>
  <dcterms:modified xsi:type="dcterms:W3CDTF">2020-12-16T04:08:00Z</dcterms:modified>
</cp:coreProperties>
</file>