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2" w:rsidRPr="00411236" w:rsidRDefault="00902812" w:rsidP="00C20A58">
      <w:pPr>
        <w:jc w:val="both"/>
        <w:rPr>
          <w:b/>
          <w:sz w:val="24"/>
          <w:szCs w:val="24"/>
        </w:rPr>
      </w:pPr>
      <w:r w:rsidRPr="00411236">
        <w:rPr>
          <w:b/>
          <w:sz w:val="24"/>
          <w:szCs w:val="24"/>
        </w:rPr>
        <w:t>Καινοτόμες μέθοδοι αξιοποίησης υγρών αποβλήτων της βιομηχανίας επιτραπέζιας ελιάς για την παραγωγή βιογενών προϊόντων με ενδιαφέρον για τη βιομηχανία τροφίμων</w:t>
      </w:r>
    </w:p>
    <w:p w:rsidR="00F54C42" w:rsidRPr="00F54C42" w:rsidRDefault="00F54C42" w:rsidP="00C20A58">
      <w:pPr>
        <w:jc w:val="both"/>
      </w:pPr>
      <w:r>
        <w:t xml:space="preserve">Δρ. Φανή Μαντζουρίδου, </w:t>
      </w:r>
      <w:r w:rsidR="006A78C9">
        <w:t>Αναπληρώτρια</w:t>
      </w:r>
      <w:r>
        <w:t xml:space="preserve"> </w:t>
      </w:r>
      <w:r w:rsidR="00902812" w:rsidRPr="00902812">
        <w:t xml:space="preserve">Καθηγήτρια, </w:t>
      </w:r>
      <w:r>
        <w:t>Εργαστήριο Χημείας και Τεχνολογίας Τροφίμων</w:t>
      </w:r>
      <w:r w:rsidRPr="00F54C42">
        <w:t xml:space="preserve"> (</w:t>
      </w:r>
      <w:r w:rsidR="00411236">
        <w:t>ΕΧΤΤ</w:t>
      </w:r>
      <w:r w:rsidRPr="00F54C42">
        <w:t>)</w:t>
      </w:r>
      <w:r>
        <w:t xml:space="preserve">, Τμήμα Χημείας, ΑΠΘ, </w:t>
      </w:r>
      <w:hyperlink r:id="rId5" w:history="1">
        <w:r w:rsidRPr="001E6FB7">
          <w:rPr>
            <w:rStyle w:val="-"/>
            <w:lang w:val="en-US"/>
          </w:rPr>
          <w:t>fmantz</w:t>
        </w:r>
        <w:r w:rsidRPr="00F54C42">
          <w:rPr>
            <w:rStyle w:val="-"/>
          </w:rPr>
          <w:t>@</w:t>
        </w:r>
        <w:r w:rsidRPr="001E6FB7">
          <w:rPr>
            <w:rStyle w:val="-"/>
            <w:lang w:val="en-US"/>
          </w:rPr>
          <w:t>chem</w:t>
        </w:r>
        <w:r w:rsidRPr="00F54C42">
          <w:rPr>
            <w:rStyle w:val="-"/>
          </w:rPr>
          <w:t>.</w:t>
        </w:r>
        <w:r w:rsidRPr="001E6FB7">
          <w:rPr>
            <w:rStyle w:val="-"/>
            <w:lang w:val="en-US"/>
          </w:rPr>
          <w:t>auth</w:t>
        </w:r>
        <w:r w:rsidRPr="00F54C42">
          <w:rPr>
            <w:rStyle w:val="-"/>
          </w:rPr>
          <w:t>.</w:t>
        </w:r>
        <w:r w:rsidRPr="001E6FB7">
          <w:rPr>
            <w:rStyle w:val="-"/>
            <w:lang w:val="en-US"/>
          </w:rPr>
          <w:t>gr</w:t>
        </w:r>
      </w:hyperlink>
    </w:p>
    <w:p w:rsidR="00902812" w:rsidRPr="00F54C42" w:rsidRDefault="006A78C9" w:rsidP="00C20A58">
      <w:pPr>
        <w:jc w:val="both"/>
      </w:pPr>
      <w:r>
        <w:t>Δρ. Ευγενία Παπαδάκη</w:t>
      </w:r>
      <w:r w:rsidR="00F54C42" w:rsidRPr="00F54C42">
        <w:t xml:space="preserve">, </w:t>
      </w:r>
      <w:r w:rsidR="00902812" w:rsidRPr="00902812">
        <w:t xml:space="preserve">Μεταδιδακτορική Ερευνήτρια, </w:t>
      </w:r>
      <w:r w:rsidR="00411236">
        <w:t>ΕΧΤΤ</w:t>
      </w:r>
      <w:r w:rsidR="00F54C42" w:rsidRPr="00F54C42">
        <w:t xml:space="preserve">, </w:t>
      </w:r>
      <w:r w:rsidR="00F54C42">
        <w:t>Τμήμα Χημεία, ΑΠΘ</w:t>
      </w:r>
      <w:r w:rsidR="00F54C42" w:rsidRPr="00F54C42">
        <w:t xml:space="preserve">, </w:t>
      </w:r>
      <w:hyperlink r:id="rId6" w:history="1">
        <w:r w:rsidR="00F54C42" w:rsidRPr="001E6FB7">
          <w:rPr>
            <w:rStyle w:val="-"/>
            <w:lang w:val="en-US"/>
          </w:rPr>
          <w:t>epapadaki</w:t>
        </w:r>
        <w:r w:rsidR="00F54C42" w:rsidRPr="00F54C42">
          <w:rPr>
            <w:rStyle w:val="-"/>
          </w:rPr>
          <w:t>@</w:t>
        </w:r>
        <w:r w:rsidR="00F54C42" w:rsidRPr="001E6FB7">
          <w:rPr>
            <w:rStyle w:val="-"/>
            <w:lang w:val="en-US"/>
          </w:rPr>
          <w:t>chem</w:t>
        </w:r>
        <w:r w:rsidR="00F54C42" w:rsidRPr="00F54C42">
          <w:rPr>
            <w:rStyle w:val="-"/>
          </w:rPr>
          <w:t>.</w:t>
        </w:r>
        <w:r w:rsidR="00F54C42" w:rsidRPr="001E6FB7">
          <w:rPr>
            <w:rStyle w:val="-"/>
            <w:lang w:val="en-US"/>
          </w:rPr>
          <w:t>auth</w:t>
        </w:r>
        <w:r w:rsidR="00F54C42" w:rsidRPr="00F54C42">
          <w:rPr>
            <w:rStyle w:val="-"/>
          </w:rPr>
          <w:t>.</w:t>
        </w:r>
        <w:r w:rsidR="00F54C42" w:rsidRPr="001E6FB7">
          <w:rPr>
            <w:rStyle w:val="-"/>
            <w:lang w:val="en-US"/>
          </w:rPr>
          <w:t>gr</w:t>
        </w:r>
      </w:hyperlink>
    </w:p>
    <w:p w:rsidR="00DA2956" w:rsidRDefault="00DA2956" w:rsidP="00A35334">
      <w:pPr>
        <w:spacing w:after="0" w:line="360" w:lineRule="auto"/>
        <w:jc w:val="both"/>
      </w:pPr>
    </w:p>
    <w:p w:rsidR="00DA2956" w:rsidRDefault="001E4BAE" w:rsidP="00DA2956">
      <w:pPr>
        <w:spacing w:after="0" w:line="360" w:lineRule="auto"/>
        <w:ind w:firstLine="720"/>
        <w:jc w:val="both"/>
      </w:pPr>
      <w:r>
        <w:rPr>
          <w:rFonts w:cstheme="minorHAnsi"/>
        </w:rPr>
        <w:t>Η βιομηχανία επιτραπέζιας ελιάς παράγει υψηλούς όγκους</w:t>
      </w:r>
      <w:r w:rsidRPr="00A35334">
        <w:rPr>
          <w:rFonts w:cstheme="minorHAnsi"/>
        </w:rPr>
        <w:t xml:space="preserve"> ρυπογόνων αποβλήτων</w:t>
      </w:r>
      <w:r>
        <w:rPr>
          <w:rFonts w:cstheme="minorHAnsi"/>
        </w:rPr>
        <w:t xml:space="preserve"> κ</w:t>
      </w:r>
      <w:r w:rsidR="00A35334" w:rsidRPr="00A35334">
        <w:rPr>
          <w:rFonts w:cstheme="minorHAnsi"/>
        </w:rPr>
        <w:t>ατά τα διάφορα στά</w:t>
      </w:r>
      <w:r w:rsidR="00A35334">
        <w:rPr>
          <w:rFonts w:cstheme="minorHAnsi"/>
        </w:rPr>
        <w:t xml:space="preserve">δια επεξεργασίας του ελαιόκαρπου. </w:t>
      </w:r>
      <w:r w:rsidR="00200AAB" w:rsidRPr="00A35334">
        <w:rPr>
          <w:rFonts w:cstheme="minorHAnsi"/>
        </w:rPr>
        <w:t xml:space="preserve">Ιδιαίτερη έμφαση αξίζει να δοθεί </w:t>
      </w:r>
      <w:r w:rsidR="00C20A58" w:rsidRPr="00A35334">
        <w:rPr>
          <w:rFonts w:cstheme="minorHAnsi"/>
        </w:rPr>
        <w:t xml:space="preserve">στα απόβλητα που παράγονται </w:t>
      </w:r>
      <w:r w:rsidR="00C73747" w:rsidRPr="00A35334">
        <w:rPr>
          <w:rFonts w:cstheme="minorHAnsi"/>
        </w:rPr>
        <w:t>σ</w:t>
      </w:r>
      <w:r w:rsidR="00C20A58" w:rsidRPr="00A35334">
        <w:rPr>
          <w:rFonts w:cstheme="minorHAnsi"/>
        </w:rPr>
        <w:t>τα στάδια της</w:t>
      </w:r>
      <w:r w:rsidR="00C20A58">
        <w:t xml:space="preserve"> εκπίκρανσης και έκπλυσης </w:t>
      </w:r>
      <w:r w:rsidR="00C73747">
        <w:t xml:space="preserve">του ελαιόκαρπου </w:t>
      </w:r>
      <w:r w:rsidR="00C73747" w:rsidRPr="00C73747">
        <w:t>κατά την</w:t>
      </w:r>
      <w:r w:rsidR="00C73747" w:rsidRPr="00C73747">
        <w:rPr>
          <w:rFonts w:hint="eastAsia"/>
        </w:rPr>
        <w:t xml:space="preserve"> </w:t>
      </w:r>
      <w:r w:rsidR="00C73747" w:rsidRPr="00C73747">
        <w:rPr>
          <w:rFonts w:cstheme="minorHAnsi"/>
        </w:rPr>
        <w:t>επεξεργασία ισπανικού τύπου της πράσινης ελιάς</w:t>
      </w:r>
      <w:r w:rsidR="00C20A58">
        <w:t xml:space="preserve">. Οι εν λόγω εκροές </w:t>
      </w:r>
      <w:r w:rsidR="00C73747">
        <w:t xml:space="preserve">καλύπτουν το 80% του συνολικού όγκου αποβλήτων της συγκεκριμένης μεθόδου επεξεργασίας και, παρά την εποχική διακύμανση των φυσικοχημικών τους χαρακτηριστικών, </w:t>
      </w:r>
      <w:r w:rsidR="00C20A58">
        <w:t>χαρακτηρίζονται από υψηλό οργαν</w:t>
      </w:r>
      <w:r w:rsidR="00C73747">
        <w:t>ικό φορτίο και φυτοτοξική δράση</w:t>
      </w:r>
      <w:r w:rsidR="00C20A58">
        <w:t xml:space="preserve">. Η επικινδυνότητά τους για το περιβάλλον εντείνεται αν ληφθεί υπόψη ότι σχηματίζονται </w:t>
      </w:r>
      <w:r w:rsidR="00C20A58" w:rsidRPr="00C20A58">
        <w:t>σε μικρό χρονικό διάστημα (</w:t>
      </w:r>
      <w:r w:rsidR="006A78C9">
        <w:rPr>
          <w:rFonts w:ascii="Arial" w:hAnsi="Arial" w:cs="Arial"/>
        </w:rPr>
        <w:t>~</w:t>
      </w:r>
      <w:r w:rsidR="00C20A58" w:rsidRPr="00C20A58">
        <w:t xml:space="preserve">1 μήνας) και σε συγκεκριμένες γεωγραφικές περιοχές </w:t>
      </w:r>
      <w:r w:rsidR="00C20A58">
        <w:t xml:space="preserve">ως επί το πλείστον </w:t>
      </w:r>
      <w:r w:rsidR="00C20A58" w:rsidRPr="00C20A58">
        <w:t>από μικρομεσαίες επιχειρήσεις</w:t>
      </w:r>
      <w:r w:rsidR="00C20A58">
        <w:t xml:space="preserve">. </w:t>
      </w:r>
      <w:r w:rsidR="00A35334" w:rsidRPr="00F54C42">
        <w:t xml:space="preserve">Μέχρι σήμερα, </w:t>
      </w:r>
      <w:r w:rsidR="00A35334" w:rsidRPr="00F54C42">
        <w:rPr>
          <w:bCs/>
        </w:rPr>
        <w:t>δεν υπάρχει</w:t>
      </w:r>
      <w:r w:rsidR="00A35334" w:rsidRPr="00F54C42">
        <w:t xml:space="preserve"> συγκεκριμένη νομοθεσία για τη διαχείρισή τους, </w:t>
      </w:r>
      <w:r w:rsidR="00A35334" w:rsidRPr="00F54C42">
        <w:rPr>
          <w:bCs/>
        </w:rPr>
        <w:t>σε αντίθεση με τα υγρά απόβλητα ελαιοτριβείων</w:t>
      </w:r>
      <w:r w:rsidR="00A35334" w:rsidRPr="00F54C42">
        <w:t>.</w:t>
      </w:r>
      <w:r w:rsidR="00A35334">
        <w:t xml:space="preserve"> </w:t>
      </w:r>
      <w:r w:rsidR="00A35334" w:rsidRPr="00A35334">
        <w:t>Διάφορες ερευνητικές προσπάθειες έχουν γίνει για τη διαχείριση των εν λόγω αποβλήτων μέσω φυσικών και χημικών διεργασιών με διαφορετικό βαθμό επιτυχίας. Ωστόσο, αυτές οι προσεγγίσεις παρουσιάζουν σημαντικά μειονεκτήματα, όπως είναι ο σχηματισμός ρυπογόνων παράπλευρων εκροών, οι υψηλές απαιτήσεις σε ενέργεια ή/και το υψηλό λειτουργικό κόστος. Αντιθέτως, οι βιοτεχνολογικές διεργασίες έχουν αναγνωριστεί ως μία οικονομικά και οικολογικά βιώσιμη επιλογή για την αποτελεσματική διαχείριση των αποβλήτ</w:t>
      </w:r>
      <w:r w:rsidR="00A35334">
        <w:t>ων παραγωγής επιτραπέζιας ελιάς</w:t>
      </w:r>
      <w:r w:rsidR="00D20725" w:rsidRPr="00D20725">
        <w:rPr>
          <w:vertAlign w:val="superscript"/>
        </w:rPr>
        <w:t>1</w:t>
      </w:r>
      <w:r w:rsidR="00115488">
        <w:t xml:space="preserve">. </w:t>
      </w:r>
    </w:p>
    <w:p w:rsidR="001E25D7" w:rsidRDefault="00327545" w:rsidP="00DA2956">
      <w:pPr>
        <w:spacing w:after="0" w:line="360" w:lineRule="auto"/>
        <w:ind w:firstLine="720"/>
        <w:jc w:val="both"/>
      </w:pPr>
      <w:r>
        <w:t xml:space="preserve">Σε αυτή την κατεύθυνση, </w:t>
      </w:r>
      <w:r w:rsidR="00411236">
        <w:t xml:space="preserve">η ερευνητική δραστηριότητα της ομάδας του ΕΧΤΤ </w:t>
      </w:r>
      <w:r w:rsidR="001E4BAE">
        <w:t>ανέδειξε</w:t>
      </w:r>
      <w:r w:rsidR="00411236" w:rsidRPr="00411236">
        <w:t xml:space="preserve"> την ικανότητα του </w:t>
      </w:r>
      <w:r w:rsidR="00411236" w:rsidRPr="00B74A12">
        <w:t xml:space="preserve">μύκητα </w:t>
      </w:r>
      <w:r w:rsidR="00411236">
        <w:rPr>
          <w:i/>
          <w:lang w:val="en-US"/>
        </w:rPr>
        <w:t>Aspergillus</w:t>
      </w:r>
      <w:r w:rsidR="00411236" w:rsidRPr="00B74A12">
        <w:rPr>
          <w:i/>
        </w:rPr>
        <w:t xml:space="preserve"> niger</w:t>
      </w:r>
      <w:r w:rsidR="00411236">
        <w:t xml:space="preserve"> B60 (επίπεδο βιοασφάλειας 1) </w:t>
      </w:r>
      <w:r w:rsidR="00411236" w:rsidRPr="00411236">
        <w:t xml:space="preserve">να αποικοδομεί ταχέως την </w:t>
      </w:r>
      <w:r w:rsidR="006A78C9">
        <w:t>υδρο</w:t>
      </w:r>
      <w:r w:rsidR="00411236">
        <w:t>ξυτυροσόλη</w:t>
      </w:r>
      <w:r w:rsidR="00411236" w:rsidRPr="00411236">
        <w:t xml:space="preserve"> και τα άλλα απλά φαινολικά συστατικά των υγρών αποβλήτων επεξεργασίας ισπανικού τύπου της πράσινης ελιάς σε ένα μεγάλο εύρος συγκε</w:t>
      </w:r>
      <w:r w:rsidR="00411236">
        <w:t>ντ</w:t>
      </w:r>
      <w:r w:rsidR="001E4BAE">
        <w:t>ρώσεων (0,2 g/L έως 1,5 g/L).</w:t>
      </w:r>
      <w:r w:rsidR="00411236">
        <w:t xml:space="preserve"> Ως άμεση συνέπεια</w:t>
      </w:r>
      <w:r w:rsidR="001E25D7">
        <w:t xml:space="preserve"> της μεταβολικής δραστηριότητας του μύκητα ήταν </w:t>
      </w:r>
      <w:r w:rsidR="00411236">
        <w:t xml:space="preserve">η </w:t>
      </w:r>
      <w:r w:rsidR="00B74A12">
        <w:t xml:space="preserve">μείωση των επιπέδων του χημικά απαιτούμενου οξυγόνου </w:t>
      </w:r>
      <w:r w:rsidR="001E25D7">
        <w:t xml:space="preserve">και </w:t>
      </w:r>
      <w:r w:rsidR="00B74A12" w:rsidRPr="00B74A12">
        <w:t>τη</w:t>
      </w:r>
      <w:r w:rsidR="00F54C42">
        <w:t>ς</w:t>
      </w:r>
      <w:r w:rsidR="00B74A12" w:rsidRPr="00B74A12">
        <w:t xml:space="preserve"> φυτοτοξική</w:t>
      </w:r>
      <w:r w:rsidR="00F54C42">
        <w:t>ς</w:t>
      </w:r>
      <w:r w:rsidR="00B74A12" w:rsidRPr="00B74A12">
        <w:t xml:space="preserve"> δράση</w:t>
      </w:r>
      <w:r w:rsidR="00F54C42">
        <w:t>ς</w:t>
      </w:r>
      <w:r w:rsidR="001E25D7">
        <w:t xml:space="preserve"> των αποβλήτων</w:t>
      </w:r>
      <w:r w:rsidR="00B74A12">
        <w:t>.</w:t>
      </w:r>
      <w:r w:rsidR="00236CDE">
        <w:t xml:space="preserve"> </w:t>
      </w:r>
      <w:r w:rsidR="00F54C42">
        <w:t>Επιπλέον, ο</w:t>
      </w:r>
      <w:r w:rsidR="00236CDE">
        <w:t xml:space="preserve">ι </w:t>
      </w:r>
      <w:r w:rsidR="00236CDE" w:rsidRPr="00236CDE">
        <w:t xml:space="preserve">πληροφορίες που συλλέχθηκαν </w:t>
      </w:r>
      <w:r w:rsidR="00F54C42">
        <w:t xml:space="preserve">από τη μεταβολομική ανάλυση των επεξεργασμένων </w:t>
      </w:r>
      <w:r w:rsidR="001E25D7">
        <w:t>αποβλήτων</w:t>
      </w:r>
      <w:r w:rsidR="001E4BAE">
        <w:t xml:space="preserve"> ανέδειξαν</w:t>
      </w:r>
      <w:r w:rsidR="00F54C42">
        <w:t xml:space="preserve"> </w:t>
      </w:r>
      <w:r w:rsidR="00F54C42" w:rsidRPr="00F54C42">
        <w:t xml:space="preserve">τη σύνθεση νέων </w:t>
      </w:r>
      <w:r w:rsidR="00F54C42" w:rsidRPr="00F54C42">
        <w:lastRenderedPageBreak/>
        <w:t>φαινολικών κ</w:t>
      </w:r>
      <w:r w:rsidR="00F54C42">
        <w:t xml:space="preserve">αι μη φαινολικών παραγώγων τους και </w:t>
      </w:r>
      <w:r w:rsidR="00236CDE" w:rsidRPr="00236CDE">
        <w:t>αναμένεται να διευκολύνουν την περαιτέρω επεξεργασία για την πλήρη απορρύπανση των αποβλήτων</w:t>
      </w:r>
      <w:r w:rsidR="00D20725" w:rsidRPr="00D20725">
        <w:rPr>
          <w:vertAlign w:val="superscript"/>
        </w:rPr>
        <w:t>2</w:t>
      </w:r>
      <w:r w:rsidR="00236CDE" w:rsidRPr="00236CDE">
        <w:t xml:space="preserve">. </w:t>
      </w:r>
    </w:p>
    <w:p w:rsidR="00B86EAF" w:rsidRPr="00D20725" w:rsidRDefault="001E25D7" w:rsidP="001E25D7">
      <w:pPr>
        <w:spacing w:after="0" w:line="360" w:lineRule="auto"/>
        <w:ind w:firstLine="720"/>
        <w:jc w:val="both"/>
        <w:rPr>
          <w:rFonts w:cstheme="minorHAnsi"/>
        </w:rPr>
      </w:pPr>
      <w:r w:rsidRPr="001E25D7">
        <w:t xml:space="preserve">Κύριος στόχος της σύγχρονης βιομηχανίας που προωθείται θεσμικά από την ΕΕ είναι η προαγωγή των αρχών της κυκλικής οικονομίας και κυρίως η δημιουργία βιώσιμων ευκαιριών για τις τοπικές οικονομίες μέσω της ανάπτυξης αναπαραγώγιμων πρακτικών βιομηχανικής συμβίωσης. </w:t>
      </w:r>
      <w:r w:rsidR="00102870" w:rsidRPr="00110382">
        <w:rPr>
          <w:rFonts w:cstheme="minorHAnsi"/>
        </w:rPr>
        <w:t xml:space="preserve"> Σε αυτό τον άξονα, </w:t>
      </w:r>
      <w:r>
        <w:rPr>
          <w:rFonts w:cstheme="minorHAnsi"/>
        </w:rPr>
        <w:t xml:space="preserve">η ομάδα του ΕΧΤΤ ανέπτυξε </w:t>
      </w:r>
      <w:r w:rsidR="00102870" w:rsidRPr="00110382">
        <w:rPr>
          <w:rFonts w:cstheme="minorHAnsi"/>
        </w:rPr>
        <w:t xml:space="preserve">ένα συμβιωτικό σενάριο στον Δήμο Νέας Προποντίδας (Περιφερειακή Ενότητα Χαλκιδικής) για την </w:t>
      </w:r>
      <w:r w:rsidR="00F968B4" w:rsidRPr="00110382">
        <w:rPr>
          <w:rFonts w:cstheme="minorHAnsi"/>
        </w:rPr>
        <w:t xml:space="preserve">αειφόρο διαχείριση των υγρών αποβλήτων μαζί με τα στέμφυλα λευκής/ερυθρής οινοποίησης και τα πίτυρα σίτου ως πρώτες ύλες για τη βιοτεχνολογική παραγωγή κιτρικού οξέος και υδρολυτικών ενζύμων με τον </w:t>
      </w:r>
      <w:r w:rsidR="00F968B4" w:rsidRPr="00110382">
        <w:rPr>
          <w:rFonts w:cstheme="minorHAnsi"/>
          <w:i/>
        </w:rPr>
        <w:t>A. niger</w:t>
      </w:r>
      <w:r w:rsidR="00F968B4" w:rsidRPr="00110382">
        <w:rPr>
          <w:rFonts w:cstheme="minorHAnsi"/>
        </w:rPr>
        <w:t xml:space="preserve"> B60. </w:t>
      </w:r>
      <w:r w:rsidR="00B86EAF" w:rsidRPr="00110382">
        <w:rPr>
          <w:rFonts w:cstheme="minorHAnsi"/>
        </w:rPr>
        <w:t xml:space="preserve">Τα επίπεδα παραγωγής κιτρικούς οξέος (83 </w:t>
      </w:r>
      <w:r w:rsidR="00B86EAF" w:rsidRPr="00110382">
        <w:rPr>
          <w:rFonts w:cstheme="minorHAnsi"/>
          <w:lang w:val="en-US"/>
        </w:rPr>
        <w:t>g</w:t>
      </w:r>
      <w:r w:rsidR="00B86EAF" w:rsidRPr="00110382">
        <w:rPr>
          <w:rFonts w:cstheme="minorHAnsi"/>
        </w:rPr>
        <w:t>/</w:t>
      </w:r>
      <w:r w:rsidR="00B86EAF" w:rsidRPr="00110382">
        <w:rPr>
          <w:rFonts w:cstheme="minorHAnsi"/>
          <w:lang w:val="en-US"/>
        </w:rPr>
        <w:t>L</w:t>
      </w:r>
      <w:r w:rsidR="00B86EAF" w:rsidRPr="00110382">
        <w:rPr>
          <w:rFonts w:cstheme="minorHAnsi"/>
        </w:rPr>
        <w:t>) καθώς και των ενζύμων καρβοξυμεθυλοκυτταρινάση, πολυγαλακτουρονάση, ξυλανάση, αμυλάση και όξινη πρωτεάση (668 IU/g, 3.151 IU/g, 579 IU/g</w:t>
      </w:r>
      <w:r w:rsidR="00110382" w:rsidRPr="00110382">
        <w:rPr>
          <w:rFonts w:cstheme="minorHAnsi"/>
        </w:rPr>
        <w:t>,</w:t>
      </w:r>
      <w:r w:rsidR="00B86EAF" w:rsidRPr="00110382">
        <w:rPr>
          <w:rFonts w:cstheme="minorHAnsi"/>
        </w:rPr>
        <w:t xml:space="preserve"> 1.099 IU/g και 204 IU/g επί ξηρής μάζας, αντίστοιχα) ήταν ανταγωνιστικά σε σχέση με αυτά που προκύπτουν από την αξιοποίηση άλλων αγροτοβιομηχανικών αποβλήτων για τον ίδιο σκοπό.</w:t>
      </w:r>
      <w:r w:rsidR="00110382" w:rsidRPr="00110382">
        <w:rPr>
          <w:rFonts w:cstheme="minorHAnsi"/>
        </w:rPr>
        <w:t xml:space="preserve"> Σημαντικό πλεονέκτημα της προσέγγισης που ακολουθήθηκε ήταν η μείωση του οργανικού και του φαινολικού φορτίου των υγρών αποβλήτων κατά 78% και 64%, αντίστοιχα</w:t>
      </w:r>
      <w:r w:rsidR="00110382">
        <w:rPr>
          <w:rFonts w:cstheme="minorHAnsi"/>
        </w:rPr>
        <w:t>.</w:t>
      </w:r>
      <w:r w:rsidR="00110382" w:rsidRPr="00110382">
        <w:rPr>
          <w:rFonts w:cstheme="minorHAnsi"/>
        </w:rPr>
        <w:t xml:space="preserve"> </w:t>
      </w:r>
      <w:r>
        <w:rPr>
          <w:rFonts w:cstheme="minorHAnsi"/>
        </w:rPr>
        <w:t>Η</w:t>
      </w:r>
      <w:r w:rsidR="00110382">
        <w:rPr>
          <w:rFonts w:cstheme="minorHAnsi"/>
        </w:rPr>
        <w:t xml:space="preserve"> </w:t>
      </w:r>
      <w:r w:rsidR="00110382" w:rsidRPr="00110382">
        <w:rPr>
          <w:rFonts w:cstheme="minorHAnsi"/>
        </w:rPr>
        <w:t xml:space="preserve">οικονομική βιωσιμότητα </w:t>
      </w:r>
      <w:r>
        <w:rPr>
          <w:rFonts w:cstheme="minorHAnsi"/>
        </w:rPr>
        <w:t xml:space="preserve">της προτεινόμενης </w:t>
      </w:r>
      <w:r w:rsidR="006A78C9">
        <w:rPr>
          <w:rFonts w:cstheme="minorHAnsi"/>
        </w:rPr>
        <w:t xml:space="preserve">μονάδας </w:t>
      </w:r>
      <w:r>
        <w:rPr>
          <w:rFonts w:cstheme="minorHAnsi"/>
        </w:rPr>
        <w:t>είναι εφικτή</w:t>
      </w:r>
      <w:r w:rsidR="00D20725">
        <w:rPr>
          <w:rFonts w:cstheme="minorHAnsi"/>
        </w:rPr>
        <w:t xml:space="preserve"> με την ταυτόχρονη παραγωγή περισσότερων του ενός προϊόντων</w:t>
      </w:r>
      <w:r w:rsidR="006A78C9">
        <w:rPr>
          <w:rFonts w:cstheme="minorHAnsi"/>
        </w:rPr>
        <w:t xml:space="preserve"> υψηλής προστιθέμενης αξίας</w:t>
      </w:r>
      <w:r w:rsidR="00D20725" w:rsidRPr="00D20725">
        <w:rPr>
          <w:rFonts w:cstheme="minorHAnsi"/>
          <w:vertAlign w:val="superscript"/>
        </w:rPr>
        <w:t>3,4</w:t>
      </w:r>
      <w:r w:rsidR="00D20725">
        <w:rPr>
          <w:rFonts w:cstheme="minorHAnsi"/>
        </w:rPr>
        <w:t xml:space="preserve">. </w:t>
      </w:r>
      <w:r w:rsidR="00110382">
        <w:rPr>
          <w:rFonts w:cstheme="minorHAnsi"/>
        </w:rPr>
        <w:t>Η υιοθέτηση του εν λόγω μοντέλου αναμένεται να ενισχύσει την αειφόρο ανάπτυξη της</w:t>
      </w:r>
      <w:r w:rsidR="00D20725">
        <w:rPr>
          <w:rFonts w:cstheme="minorHAnsi"/>
        </w:rPr>
        <w:t xml:space="preserve"> βιομηχανίας επιτραπέζιας ελιάς, </w:t>
      </w:r>
      <w:r w:rsidR="006A78C9">
        <w:rPr>
          <w:rFonts w:cstheme="minorHAnsi"/>
        </w:rPr>
        <w:t xml:space="preserve">της </w:t>
      </w:r>
      <w:r w:rsidR="00D20725">
        <w:rPr>
          <w:rFonts w:cstheme="minorHAnsi"/>
        </w:rPr>
        <w:t xml:space="preserve">οινοβιομηχανίας και </w:t>
      </w:r>
      <w:r w:rsidR="006A78C9">
        <w:rPr>
          <w:rFonts w:cstheme="minorHAnsi"/>
        </w:rPr>
        <w:t xml:space="preserve">της </w:t>
      </w:r>
      <w:r w:rsidR="00D20725">
        <w:rPr>
          <w:rFonts w:cstheme="minorHAnsi"/>
        </w:rPr>
        <w:t xml:space="preserve">αλευροβιομηχανίας </w:t>
      </w:r>
      <w:r w:rsidR="00110382">
        <w:rPr>
          <w:rFonts w:cstheme="minorHAnsi"/>
        </w:rPr>
        <w:t>μέσω της απορρύπανσης των αποβλήτων και της παραγωγής συστατικών τροφίμων που μπορ</w:t>
      </w:r>
      <w:r w:rsidR="00D20725">
        <w:rPr>
          <w:rFonts w:cstheme="minorHAnsi"/>
        </w:rPr>
        <w:t>ούν να αξιοποιηθούν είτε από τις ίδιες</w:t>
      </w:r>
      <w:r w:rsidR="00110382">
        <w:rPr>
          <w:rFonts w:cstheme="minorHAnsi"/>
        </w:rPr>
        <w:t xml:space="preserve"> είτε από άλλες βιομηχανίες.</w:t>
      </w:r>
    </w:p>
    <w:p w:rsidR="00D20725" w:rsidRPr="00D20725" w:rsidRDefault="00D20725" w:rsidP="00D20725">
      <w:pPr>
        <w:spacing w:after="0" w:line="360" w:lineRule="auto"/>
        <w:jc w:val="both"/>
        <w:rPr>
          <w:rFonts w:cstheme="minorHAnsi"/>
        </w:rPr>
      </w:pPr>
    </w:p>
    <w:p w:rsidR="00D20725" w:rsidRPr="00D20725" w:rsidRDefault="00D20725" w:rsidP="00D20725">
      <w:pPr>
        <w:spacing w:after="0" w:line="360" w:lineRule="auto"/>
        <w:jc w:val="both"/>
        <w:rPr>
          <w:rFonts w:cstheme="minorHAnsi"/>
          <w:lang w:val="en-US"/>
        </w:rPr>
      </w:pPr>
      <w:r>
        <w:rPr>
          <w:rFonts w:cstheme="minorHAnsi"/>
        </w:rPr>
        <w:t>Βιβλιογραφικές</w:t>
      </w:r>
      <w:r w:rsidRPr="00D20725">
        <w:rPr>
          <w:rFonts w:cstheme="minorHAnsi"/>
          <w:lang w:val="en-US"/>
        </w:rPr>
        <w:t xml:space="preserve"> </w:t>
      </w:r>
      <w:r>
        <w:rPr>
          <w:rFonts w:cstheme="minorHAnsi"/>
        </w:rPr>
        <w:t>αναφορές</w:t>
      </w:r>
    </w:p>
    <w:p w:rsidR="00D20725" w:rsidRPr="00D20725" w:rsidRDefault="00D20725" w:rsidP="00D2072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n-US"/>
        </w:rPr>
      </w:pPr>
      <w:r w:rsidRPr="00D20725">
        <w:rPr>
          <w:rFonts w:cstheme="minorHAnsi"/>
          <w:lang w:val="en-US"/>
        </w:rPr>
        <w:t>E. Papadaki, F. Th Mantzouridou. Current status and future challenges of table olive processing wastewater valorization. Biochemical Engineering Journal, 112, 103–113, 2016</w:t>
      </w:r>
      <w:r>
        <w:rPr>
          <w:rFonts w:cstheme="minorHAnsi"/>
        </w:rPr>
        <w:t xml:space="preserve">. </w:t>
      </w:r>
      <w:hyperlink r:id="rId7" w:history="1">
        <w:r w:rsidRPr="001E6FB7">
          <w:rPr>
            <w:rStyle w:val="-"/>
            <w:rFonts w:cstheme="minorHAnsi"/>
            <w:lang w:val="en-US"/>
          </w:rPr>
          <w:t>http://dx.doi.org/10.1016/j.bej.2016.04.008</w:t>
        </w:r>
      </w:hyperlink>
    </w:p>
    <w:p w:rsidR="00D20725" w:rsidRPr="00D20725" w:rsidRDefault="00D20725" w:rsidP="00D2072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n-US"/>
        </w:rPr>
      </w:pPr>
      <w:r w:rsidRPr="00D20725">
        <w:rPr>
          <w:rFonts w:cstheme="minorHAnsi"/>
          <w:lang w:val="en-US"/>
        </w:rPr>
        <w:t xml:space="preserve">E. Papadaki, M. Z. Tsimidou, and F. Th. Mantzouridou. Changes in phenolic compounds and phytotoxicity of the Spanish-style green olive processing wastewaters by </w:t>
      </w:r>
      <w:r w:rsidRPr="00D20725">
        <w:rPr>
          <w:rFonts w:cstheme="minorHAnsi"/>
          <w:i/>
          <w:lang w:val="en-US"/>
        </w:rPr>
        <w:t>Aspergillus niger</w:t>
      </w:r>
      <w:r w:rsidRPr="00D20725">
        <w:rPr>
          <w:rFonts w:cstheme="minorHAnsi"/>
          <w:lang w:val="en-US"/>
        </w:rPr>
        <w:t xml:space="preserve"> B60. Journal of Agricultural and Food Chemistry, 66, 4891–4901, 2018. </w:t>
      </w:r>
      <w:hyperlink r:id="rId8" w:history="1">
        <w:r w:rsidRPr="00D20725">
          <w:rPr>
            <w:rStyle w:val="-"/>
            <w:rFonts w:cstheme="minorHAnsi"/>
            <w:lang w:val="en-US"/>
          </w:rPr>
          <w:t>https://doi.org/10.1021/acs.jafc.8b00918</w:t>
        </w:r>
      </w:hyperlink>
    </w:p>
    <w:p w:rsidR="00D20725" w:rsidRPr="00286CBF" w:rsidRDefault="00D20725" w:rsidP="00286C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alibri" w:hAnsi="Calibri" w:cstheme="minorHAnsi"/>
          <w:lang w:val="en-US"/>
        </w:rPr>
      </w:pPr>
      <w:r w:rsidRPr="00D20725">
        <w:rPr>
          <w:rFonts w:cstheme="minorHAnsi"/>
          <w:lang w:val="en-US"/>
        </w:rPr>
        <w:t>E. Papadaki, F. Th. Mantzouridou</w:t>
      </w:r>
      <w:r w:rsidRPr="00D20725">
        <w:rPr>
          <w:rFonts w:ascii="Tahoma" w:hAnsi="Tahoma" w:cstheme="minorHAnsi"/>
          <w:lang w:val="en-US"/>
        </w:rPr>
        <w:t xml:space="preserve">. </w:t>
      </w:r>
      <w:r w:rsidRPr="00D20725">
        <w:rPr>
          <w:rFonts w:cstheme="minorHAnsi"/>
          <w:lang w:val="en-US"/>
        </w:rPr>
        <w:t xml:space="preserve">Citric acid production from the integration of Spanish-style green olive processing wastewaters with white grape pomace by </w:t>
      </w:r>
      <w:r w:rsidRPr="00D20725">
        <w:rPr>
          <w:rFonts w:cstheme="minorHAnsi"/>
          <w:i/>
          <w:lang w:val="en-US"/>
        </w:rPr>
        <w:lastRenderedPageBreak/>
        <w:t>Aspergillus niger</w:t>
      </w:r>
      <w:r w:rsidRPr="00D20725">
        <w:rPr>
          <w:rFonts w:cstheme="minorHAnsi"/>
          <w:lang w:val="en-US"/>
        </w:rPr>
        <w:t>. Bioresource Technology, 280, 59–69, 2019</w:t>
      </w:r>
      <w:r>
        <w:rPr>
          <w:rFonts w:cstheme="minorHAnsi"/>
        </w:rPr>
        <w:t xml:space="preserve">. </w:t>
      </w:r>
      <w:hyperlink r:id="rId9" w:history="1">
        <w:r w:rsidR="00286CBF" w:rsidRPr="001E6FB7">
          <w:rPr>
            <w:rStyle w:val="-"/>
            <w:rFonts w:cstheme="minorHAnsi"/>
            <w:lang w:val="en-US"/>
          </w:rPr>
          <w:t>https://doi.org/10.1016/j.biortech.2019.01.139</w:t>
        </w:r>
      </w:hyperlink>
    </w:p>
    <w:p w:rsidR="00E8498D" w:rsidRPr="00E8498D" w:rsidRDefault="00E8498D" w:rsidP="00E849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E. </w:t>
      </w:r>
      <w:r w:rsidRPr="00E8498D">
        <w:rPr>
          <w:rFonts w:ascii="Calibri" w:hAnsi="Calibri" w:cstheme="minorHAnsi"/>
          <w:lang w:val="en-US"/>
        </w:rPr>
        <w:t>Papadaki</w:t>
      </w:r>
      <w:r>
        <w:rPr>
          <w:rFonts w:ascii="Calibri" w:hAnsi="Calibri" w:cstheme="minorHAnsi"/>
          <w:lang w:val="en-US"/>
        </w:rPr>
        <w:t xml:space="preserve">, K. </w:t>
      </w:r>
      <w:r w:rsidRPr="00E8498D">
        <w:rPr>
          <w:rFonts w:ascii="Calibri" w:hAnsi="Calibri" w:cstheme="minorHAnsi"/>
          <w:lang w:val="en-US"/>
        </w:rPr>
        <w:t>N.</w:t>
      </w:r>
      <w:r>
        <w:rPr>
          <w:rFonts w:ascii="Calibri" w:hAnsi="Calibri" w:cstheme="minorHAnsi"/>
          <w:lang w:val="en-US"/>
        </w:rPr>
        <w:t xml:space="preserve"> </w:t>
      </w:r>
      <w:r w:rsidRPr="00E8498D">
        <w:rPr>
          <w:rFonts w:ascii="Calibri" w:hAnsi="Calibri" w:cstheme="minorHAnsi"/>
          <w:lang w:val="en-US"/>
        </w:rPr>
        <w:t>Kontogiannopoulos</w:t>
      </w:r>
      <w:r>
        <w:rPr>
          <w:rFonts w:ascii="Calibri" w:hAnsi="Calibri" w:cstheme="minorHAnsi"/>
          <w:lang w:val="en-US"/>
        </w:rPr>
        <w:t xml:space="preserve">, A. </w:t>
      </w:r>
      <w:r w:rsidRPr="00E8498D">
        <w:rPr>
          <w:rFonts w:ascii="Calibri" w:hAnsi="Calibri" w:cstheme="minorHAnsi"/>
          <w:lang w:val="en-US"/>
        </w:rPr>
        <w:t>N.</w:t>
      </w:r>
      <w:r>
        <w:rPr>
          <w:rFonts w:ascii="Calibri" w:hAnsi="Calibri" w:cstheme="minorHAnsi"/>
          <w:lang w:val="en-US"/>
        </w:rPr>
        <w:t xml:space="preserve"> Assimopoulou, F. </w:t>
      </w:r>
      <w:r w:rsidRPr="00E8498D">
        <w:rPr>
          <w:rFonts w:ascii="Calibri" w:hAnsi="Calibri" w:cstheme="minorHAnsi"/>
          <w:lang w:val="en-US"/>
        </w:rPr>
        <w:t xml:space="preserve">Th.Mantzouridou Feasibility of multi-hydrolytic enzymes production from optimized grape pomace residues and wheat bran mixture using </w:t>
      </w:r>
      <w:r w:rsidRPr="00E8498D">
        <w:rPr>
          <w:rFonts w:ascii="Calibri" w:hAnsi="Calibri" w:cstheme="minorHAnsi"/>
          <w:i/>
          <w:lang w:val="en-US"/>
        </w:rPr>
        <w:t>Aspergillus niger</w:t>
      </w:r>
      <w:r w:rsidRPr="00E8498D">
        <w:rPr>
          <w:rFonts w:ascii="Calibri" w:hAnsi="Calibri" w:cstheme="minorHAnsi"/>
          <w:lang w:val="en-US"/>
        </w:rPr>
        <w:t xml:space="preserve"> in an integrated citric acid-enzymes production process</w:t>
      </w:r>
      <w:r>
        <w:rPr>
          <w:rFonts w:ascii="Calibri" w:hAnsi="Calibri" w:cstheme="minorHAnsi"/>
          <w:lang w:val="en-US"/>
        </w:rPr>
        <w:t xml:space="preserve">. </w:t>
      </w:r>
      <w:r w:rsidRPr="00D20725">
        <w:rPr>
          <w:rFonts w:cstheme="minorHAnsi"/>
          <w:lang w:val="en-US"/>
        </w:rPr>
        <w:t xml:space="preserve">Bioresource Technology, </w:t>
      </w:r>
      <w:r>
        <w:rPr>
          <w:rFonts w:cstheme="minorHAnsi"/>
          <w:lang w:val="en-US"/>
        </w:rPr>
        <w:t>309, 123317, 2020</w:t>
      </w:r>
      <w:r>
        <w:rPr>
          <w:rFonts w:cstheme="minorHAnsi"/>
        </w:rPr>
        <w:t>.</w:t>
      </w:r>
      <w:r w:rsidRPr="00E8498D">
        <w:t xml:space="preserve"> </w:t>
      </w:r>
      <w:hyperlink r:id="rId10" w:history="1">
        <w:r w:rsidRPr="001E6FB7">
          <w:rPr>
            <w:rStyle w:val="-"/>
            <w:rFonts w:cstheme="minorHAnsi"/>
          </w:rPr>
          <w:t>https://doi.org/10.1016/j.biortech.2020.123317</w:t>
        </w:r>
      </w:hyperlink>
    </w:p>
    <w:sectPr w:rsidR="00E8498D" w:rsidRPr="00E8498D" w:rsidSect="0086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A339A"/>
    <w:multiLevelType w:val="hybridMultilevel"/>
    <w:tmpl w:val="5798C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214CC"/>
    <w:rsid w:val="00046E84"/>
    <w:rsid w:val="00102870"/>
    <w:rsid w:val="00110382"/>
    <w:rsid w:val="00115488"/>
    <w:rsid w:val="0019411B"/>
    <w:rsid w:val="001E25D7"/>
    <w:rsid w:val="001E4BAE"/>
    <w:rsid w:val="001F2161"/>
    <w:rsid w:val="00200AAB"/>
    <w:rsid w:val="00236CDE"/>
    <w:rsid w:val="00286CBF"/>
    <w:rsid w:val="00327545"/>
    <w:rsid w:val="003505DC"/>
    <w:rsid w:val="00411236"/>
    <w:rsid w:val="00596E79"/>
    <w:rsid w:val="00616FC1"/>
    <w:rsid w:val="006A78C9"/>
    <w:rsid w:val="00723804"/>
    <w:rsid w:val="00867396"/>
    <w:rsid w:val="008B6E05"/>
    <w:rsid w:val="00902812"/>
    <w:rsid w:val="00A35334"/>
    <w:rsid w:val="00B74A12"/>
    <w:rsid w:val="00B86EAF"/>
    <w:rsid w:val="00C20A58"/>
    <w:rsid w:val="00C73747"/>
    <w:rsid w:val="00CD6626"/>
    <w:rsid w:val="00D20725"/>
    <w:rsid w:val="00DA2956"/>
    <w:rsid w:val="00E76EC0"/>
    <w:rsid w:val="00E8498D"/>
    <w:rsid w:val="00F214CC"/>
    <w:rsid w:val="00F54C42"/>
    <w:rsid w:val="00F968B4"/>
    <w:rsid w:val="00FC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4C4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20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jafc.8b009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bej.2016.04.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apadaki@chem.auth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mantz@chem.auth.gr" TargetMode="External"/><Relationship Id="rId10" Type="http://schemas.openxmlformats.org/officeDocument/2006/relationships/hyperlink" Target="https://doi.org/10.1016/j.biortech.2020.123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iortech.2019.01.13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Pc-160</dc:creator>
  <cp:lastModifiedBy>user</cp:lastModifiedBy>
  <cp:revision>2</cp:revision>
  <dcterms:created xsi:type="dcterms:W3CDTF">2020-12-12T08:46:00Z</dcterms:created>
  <dcterms:modified xsi:type="dcterms:W3CDTF">2020-12-12T08:46:00Z</dcterms:modified>
</cp:coreProperties>
</file>