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FD7412">
      <w:pPr>
        <w:pStyle w:val="14"/>
        <w:tabs>
          <w:tab w:val="left" w:pos="0"/>
        </w:tabs>
        <w:spacing w:after="120" w:line="259" w:lineRule="auto"/>
        <w:ind w:left="0"/>
        <w:contextualSpacing w:val="0"/>
        <w:jc w:val="center"/>
        <w:rPr>
          <w:rFonts w:cs="Arial"/>
          <w:b/>
          <w:sz w:val="22"/>
          <w:szCs w:val="22"/>
          <w:u w:val="single"/>
        </w:rPr>
      </w:pPr>
      <w:bookmarkStart w:id="0" w:name="_GoBack"/>
      <w:bookmarkEnd w:id="0"/>
    </w:p>
    <w:p w14:paraId="08709CB4">
      <w:pPr>
        <w:pStyle w:val="14"/>
        <w:tabs>
          <w:tab w:val="left" w:pos="0"/>
        </w:tabs>
        <w:spacing w:after="120" w:line="259" w:lineRule="auto"/>
        <w:ind w:left="0"/>
        <w:contextualSpacing w:val="0"/>
        <w:jc w:val="center"/>
        <w:rPr>
          <w:rFonts w:cs="Arial"/>
          <w:b/>
          <w:sz w:val="22"/>
          <w:szCs w:val="22"/>
        </w:rPr>
      </w:pPr>
    </w:p>
    <w:p w14:paraId="16F187BF">
      <w:pPr>
        <w:pStyle w:val="14"/>
        <w:tabs>
          <w:tab w:val="left" w:pos="0"/>
        </w:tabs>
        <w:spacing w:after="120" w:line="259" w:lineRule="auto"/>
        <w:ind w:left="0"/>
        <w:contextualSpacing w:val="0"/>
        <w:jc w:val="center"/>
        <w:rPr>
          <w:rFonts w:cs="Arial"/>
          <w:b/>
          <w:sz w:val="22"/>
          <w:szCs w:val="22"/>
          <w:u w:val="single"/>
          <w:lang w:val="el-GR"/>
        </w:rPr>
      </w:pPr>
      <w:r>
        <w:drawing>
          <wp:inline distT="0" distB="0" distL="0" distR="0">
            <wp:extent cx="1743075" cy="800100"/>
            <wp:effectExtent l="0" t="0" r="9525" b="0"/>
            <wp:docPr id="190942048" name="Εικόνα 2" descr="Εικόνα που περιέχει λογότυπο, σύμβολο, έμβλημα, κείμεν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42048" name="Εικόνα 2" descr="Εικόνα που περιέχει λογότυπο, σύμβολο, έμβλημα, κείμενο&#10;&#10;Περιγραφή που δημιουργήθηκε αυτόματα"/>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743075" cy="800100"/>
                    </a:xfrm>
                    <a:prstGeom prst="rect">
                      <a:avLst/>
                    </a:prstGeom>
                    <a:noFill/>
                    <a:ln>
                      <a:noFill/>
                    </a:ln>
                  </pic:spPr>
                </pic:pic>
              </a:graphicData>
            </a:graphic>
          </wp:inline>
        </w:drawing>
      </w:r>
      <w:r>
        <w:rPr>
          <w:rFonts w:cs="Arial"/>
          <w:b/>
          <w:sz w:val="22"/>
          <w:szCs w:val="22"/>
          <w:lang w:val="el-GR"/>
        </w:rPr>
        <w:t xml:space="preserve">  </w:t>
      </w:r>
      <w:r>
        <w:rPr>
          <w:rFonts w:cs="Arial"/>
          <w:b/>
          <w:sz w:val="22"/>
          <w:szCs w:val="22"/>
          <w:lang w:val="el-GR"/>
        </w:rPr>
        <w:tab/>
      </w:r>
      <w:r>
        <w:rPr>
          <w:rFonts w:cs="Arial"/>
          <w:b/>
          <w:sz w:val="22"/>
          <w:szCs w:val="22"/>
          <w:lang w:val="el-GR"/>
        </w:rPr>
        <w:tab/>
      </w:r>
      <w:r>
        <w:rPr>
          <w:rFonts w:cs="Arial"/>
          <w:b/>
          <w:sz w:val="22"/>
          <w:szCs w:val="22"/>
          <w:lang w:val="el-GR"/>
        </w:rPr>
        <w:tab/>
      </w:r>
      <w:r>
        <w:rPr>
          <w:rFonts w:cs="Arial"/>
          <w:b/>
          <w:sz w:val="22"/>
          <w:szCs w:val="22"/>
          <w:lang w:val="el-GR"/>
        </w:rPr>
        <w:tab/>
      </w:r>
      <w:r>
        <w:rPr>
          <w:rFonts w:cs="Arial"/>
          <w:b/>
          <w:sz w:val="22"/>
          <w:szCs w:val="22"/>
          <w:lang w:val="el-GR"/>
        </w:rPr>
        <w:tab/>
      </w:r>
      <w:r>
        <w:rPr>
          <w:rFonts w:cs="Arial"/>
          <w:b/>
          <w:sz w:val="22"/>
          <w:szCs w:val="22"/>
          <w:lang w:val="el-GR"/>
        </w:rPr>
        <w:tab/>
      </w:r>
      <w:r>
        <w:rPr>
          <w:rFonts w:cs="Arial"/>
          <w:b/>
          <w:sz w:val="22"/>
          <w:szCs w:val="22"/>
          <w:lang w:val="el-GR"/>
        </w:rPr>
        <w:t xml:space="preserve">  </w:t>
      </w:r>
      <w:r>
        <w:drawing>
          <wp:inline distT="0" distB="0" distL="0" distR="0">
            <wp:extent cx="1666875" cy="857250"/>
            <wp:effectExtent l="0" t="0" r="9525" b="0"/>
            <wp:docPr id="1402917888" name="Εικόνα 1" descr="Εικόνα που περιέχει κείμενο, γραμματοσειρά, λογότυπο, σύμβολ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917888" name="Εικόνα 1" descr="Εικόνα που περιέχει κείμενο, γραμματοσειρά, λογότυπο, σύμβολο&#10;&#10;Περιγραφή που δημιουργήθηκε αυτόματα"/>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666875" cy="857250"/>
                    </a:xfrm>
                    <a:prstGeom prst="rect">
                      <a:avLst/>
                    </a:prstGeom>
                    <a:noFill/>
                    <a:ln>
                      <a:noFill/>
                    </a:ln>
                  </pic:spPr>
                </pic:pic>
              </a:graphicData>
            </a:graphic>
          </wp:inline>
        </w:drawing>
      </w:r>
    </w:p>
    <w:p w14:paraId="2A1D8847">
      <w:pPr>
        <w:pStyle w:val="14"/>
        <w:tabs>
          <w:tab w:val="left" w:pos="0"/>
        </w:tabs>
        <w:spacing w:after="120" w:line="259" w:lineRule="auto"/>
        <w:ind w:left="0"/>
        <w:contextualSpacing w:val="0"/>
        <w:jc w:val="center"/>
        <w:rPr>
          <w:rFonts w:cs="Arial"/>
          <w:b/>
          <w:sz w:val="22"/>
          <w:szCs w:val="22"/>
          <w:u w:val="single"/>
          <w:lang w:val="el-GR"/>
        </w:rPr>
      </w:pPr>
    </w:p>
    <w:p w14:paraId="40D42313">
      <w:pPr>
        <w:pStyle w:val="14"/>
        <w:tabs>
          <w:tab w:val="left" w:pos="0"/>
        </w:tabs>
        <w:spacing w:after="120" w:line="259" w:lineRule="auto"/>
        <w:ind w:left="0"/>
        <w:contextualSpacing w:val="0"/>
        <w:jc w:val="center"/>
        <w:rPr>
          <w:rFonts w:cs="Arial"/>
          <w:b/>
          <w:sz w:val="22"/>
          <w:szCs w:val="22"/>
          <w:u w:val="single"/>
          <w:lang w:val="el-GR"/>
        </w:rPr>
      </w:pPr>
    </w:p>
    <w:p w14:paraId="3F5152F6">
      <w:pPr>
        <w:pStyle w:val="14"/>
        <w:tabs>
          <w:tab w:val="left" w:pos="0"/>
        </w:tabs>
        <w:spacing w:after="120" w:line="259" w:lineRule="auto"/>
        <w:ind w:left="0"/>
        <w:contextualSpacing w:val="0"/>
        <w:jc w:val="center"/>
        <w:rPr>
          <w:rFonts w:cs="Arial"/>
          <w:b/>
          <w:sz w:val="22"/>
          <w:szCs w:val="22"/>
          <w:u w:val="single"/>
          <w:lang w:val="el-GR"/>
        </w:rPr>
      </w:pPr>
      <w:r>
        <w:rPr>
          <w:rFonts w:cs="Arial"/>
          <w:b/>
          <w:sz w:val="22"/>
          <w:szCs w:val="22"/>
          <w:u w:val="single"/>
          <w:lang w:val="el-GR"/>
        </w:rPr>
        <w:t>ΕΝΗΜΕΡΩΤΙΚΟ ΣΗΜΕΙΩΜΑ - ΕΡΩΤΗΣΕΙΣ ΚΑΙ ΑΠΑΝΤΗΣΕΙΣ</w:t>
      </w:r>
    </w:p>
    <w:p w14:paraId="0F6F769D">
      <w:pPr>
        <w:pStyle w:val="14"/>
        <w:tabs>
          <w:tab w:val="left" w:pos="0"/>
        </w:tabs>
        <w:spacing w:after="120" w:line="259" w:lineRule="auto"/>
        <w:ind w:left="0"/>
        <w:contextualSpacing w:val="0"/>
        <w:jc w:val="center"/>
        <w:rPr>
          <w:rFonts w:cs="Arial"/>
          <w:b/>
          <w:sz w:val="22"/>
          <w:szCs w:val="22"/>
          <w:u w:val="single"/>
          <w:lang w:val="el-GR"/>
        </w:rPr>
      </w:pPr>
      <w:r>
        <w:rPr>
          <w:rFonts w:cs="Arial"/>
          <w:b/>
          <w:sz w:val="22"/>
          <w:szCs w:val="22"/>
          <w:u w:val="single"/>
          <w:lang w:val="el-GR"/>
        </w:rPr>
        <w:t>ΓΙΑ ΤΑ ΔΥΟ ΝΕΑ ΕΘΝΙΚΑ ΘΑΛΑΣΣΙΑ ΠΑΡΚΑ ΣΕ ΑΙΓΑΙΟ ΚΑΙ ΙΟΝΙΟ</w:t>
      </w:r>
    </w:p>
    <w:p w14:paraId="4C6C7785">
      <w:pPr>
        <w:pStyle w:val="14"/>
        <w:tabs>
          <w:tab w:val="left" w:pos="0"/>
        </w:tabs>
        <w:spacing w:after="120" w:line="259" w:lineRule="auto"/>
        <w:ind w:left="0"/>
        <w:contextualSpacing w:val="0"/>
        <w:jc w:val="center"/>
        <w:rPr>
          <w:rFonts w:cs="Arial"/>
          <w:b/>
          <w:sz w:val="22"/>
          <w:szCs w:val="22"/>
          <w:u w:val="single"/>
          <w:lang w:val="el-GR"/>
        </w:rPr>
      </w:pPr>
    </w:p>
    <w:p w14:paraId="4226125E">
      <w:pPr>
        <w:pStyle w:val="14"/>
        <w:tabs>
          <w:tab w:val="left" w:pos="0"/>
        </w:tabs>
        <w:spacing w:after="120" w:line="259" w:lineRule="auto"/>
        <w:ind w:left="0"/>
        <w:contextualSpacing w:val="0"/>
        <w:jc w:val="both"/>
        <w:rPr>
          <w:rFonts w:cs="Arial"/>
          <w:b/>
          <w:sz w:val="22"/>
          <w:szCs w:val="22"/>
          <w:u w:val="single"/>
          <w:lang w:val="el-GR"/>
        </w:rPr>
      </w:pPr>
      <w:r>
        <w:rPr>
          <w:rFonts w:cs="Arial"/>
          <w:b/>
          <w:sz w:val="22"/>
          <w:szCs w:val="22"/>
          <w:u w:val="single"/>
          <w:lang w:val="el-GR"/>
        </w:rPr>
        <w:t xml:space="preserve">Για το Εθνικό Θαλάσσιο Πάρκο Νοτίου Αιγαίου 1 - Νότιες Κυκλάδες: </w:t>
      </w:r>
    </w:p>
    <w:p w14:paraId="499B75DE">
      <w:pPr>
        <w:pStyle w:val="14"/>
        <w:tabs>
          <w:tab w:val="left" w:pos="0"/>
        </w:tabs>
        <w:spacing w:after="120" w:line="259" w:lineRule="auto"/>
        <w:ind w:left="0"/>
        <w:contextualSpacing w:val="0"/>
        <w:jc w:val="both"/>
        <w:rPr>
          <w:rFonts w:cs="Arial"/>
          <w:sz w:val="22"/>
          <w:szCs w:val="22"/>
          <w:lang w:val="el-GR"/>
        </w:rPr>
      </w:pPr>
      <w:r>
        <w:rPr>
          <w:rFonts w:cs="Arial"/>
          <w:sz w:val="22"/>
          <w:szCs w:val="22"/>
          <w:lang w:val="el-GR"/>
        </w:rPr>
        <w:t xml:space="preserve">Η μοναδικότητα των οικοσυστημάτων των νησιών του Αιγαίου έχει αποτελέσει αντικείμενο πολύχρονης μελέτης από Έλληνες και ξένους επιστήμονες. </w:t>
      </w:r>
    </w:p>
    <w:p w14:paraId="6C0597B1">
      <w:pPr>
        <w:pStyle w:val="14"/>
        <w:tabs>
          <w:tab w:val="left" w:pos="0"/>
        </w:tabs>
        <w:spacing w:after="120" w:line="259" w:lineRule="auto"/>
        <w:ind w:left="0"/>
        <w:contextualSpacing w:val="0"/>
        <w:jc w:val="both"/>
        <w:rPr>
          <w:rFonts w:cs="Arial"/>
          <w:sz w:val="22"/>
          <w:szCs w:val="22"/>
          <w:lang w:val="el-GR"/>
        </w:rPr>
      </w:pPr>
      <w:r>
        <w:rPr>
          <w:rFonts w:cs="Arial"/>
          <w:sz w:val="22"/>
          <w:szCs w:val="22"/>
          <w:lang w:val="el-GR"/>
        </w:rPr>
        <w:t xml:space="preserve">Το δίκτυο των νησιών που συμπεριλαμβάνονται στο Εθνικό Θαλάσσιο Πάρκο Νοτίου Αιγαίου 1 – Νότιες Κυκλάδες, έχει ορισμένα διακριτά χαρακτηριστικά τα οποία το καθιστούν μοναδικό σε εθνικό και διεθνές επίπεδο και καθιστούν επιβεβλημένη την προστασία του ως φυσικό και πολιτιστικό απόθεμα παγκόσμιας σημασίας. Η επιστημονικά τεκμηριωμένη αξία των νησιών του Νοτίου Αιγαίου, έχει οδηγήσει στην ένταξή μεγάλου αριθμού αυτών στο ευρωπαϊκό δίκτυο προστατευόμενων περιοχών Natura 2000 από το 1996. Οι περιοχές αυτές αποτελούν εξαιρετική συμβολή της χώρας μας στο σημαντικότατο αυτό δίκτυο προστατευόμενων περιοχών, το μεγαλύτερο παγκοσμίως. Τα νησιά αυτά είναι είτε υπολείμματα μεγαλύτερων νησιών που καταποντίστηκαν πριν εκατοντάδες χιλιάδες χρόνια, είτε αποτέλεσμα υποθαλάσσιας ηφαιστειακής δραστηριότητας. Ο βαθμός γεωγραφικής και χρονικής απομόνωσης (σε γεωλογικό χρόνο) διαμορφώνει τα ιδιαίτερα χαρακτηριστικά του περιβάλλοντος των νησιών. Οι απομονωμένες αυτές θέσεις λειτουργούν ως φυσικά εργαστήρια εξέλιξης. </w:t>
      </w:r>
    </w:p>
    <w:p w14:paraId="2D995D89">
      <w:pPr>
        <w:pStyle w:val="14"/>
        <w:tabs>
          <w:tab w:val="left" w:pos="0"/>
        </w:tabs>
        <w:spacing w:after="120" w:line="259" w:lineRule="auto"/>
        <w:ind w:left="0"/>
        <w:contextualSpacing w:val="0"/>
        <w:jc w:val="both"/>
        <w:rPr>
          <w:rFonts w:cs="Arial"/>
          <w:sz w:val="22"/>
          <w:szCs w:val="22"/>
          <w:lang w:val="el-GR"/>
        </w:rPr>
      </w:pPr>
      <w:r>
        <w:rPr>
          <w:rFonts w:cs="Arial"/>
          <w:sz w:val="22"/>
          <w:szCs w:val="22"/>
          <w:lang w:val="el-GR"/>
        </w:rPr>
        <w:t xml:space="preserve">Το Πάρκο φιλοξενεί πολλά κινδυνεύοντα είδη πτηνών, ενδημικά είδη και υποείδη ερπετών, φυτών και ασπόνδυλων ζώων, καθώς και πληθώρα προστατευόμενων και σπάνιων ειδών σε εθνικό, ευρωπαϊκό αλλά και παγκόσμιο επίπεδο. </w:t>
      </w:r>
    </w:p>
    <w:p w14:paraId="35790271">
      <w:pPr>
        <w:spacing w:after="60" w:line="259" w:lineRule="auto"/>
        <w:jc w:val="both"/>
        <w:rPr>
          <w:rFonts w:cs="Arial"/>
          <w:sz w:val="22"/>
          <w:szCs w:val="22"/>
          <w:lang w:val="el-GR"/>
        </w:rPr>
      </w:pPr>
      <w:r>
        <w:rPr>
          <w:rFonts w:cs="Arial"/>
          <w:sz w:val="22"/>
          <w:szCs w:val="22"/>
          <w:lang w:val="el-GR"/>
        </w:rPr>
        <w:t xml:space="preserve">Οι πλούσιοι υποβρύχιοι οικότοποί του, συμπεριλαμβανομένων των λιβαδιών ποσειδωνίας, των κοραλλιογενών υφάλων και των οικοσυστημάτων βαθέων υδάτων, χρησιμεύουν ως κύριοι τόποι αναπαραγωγής θαλάσσιων θηλαστικών, όπως η μεσογειακή φώκια, και διάφορα είδη κητωδών, καθώς και ψαριών και ασπόνδυλων. Τα λιβάδια Ποσειδωνίας, παρέχουν εξαιρετικά σημαντικές οικοσυστημικές υπηρεσίες, όπως η δέσμευση άνθρακα, λειτουργώντας ως αποθήκες άνθρακα. Με την προστασία αυτών των οικοσυστημάτων, τα θαλάσσια πάρκα ενισχύουν τη λεγόμενη "μπλε απορρόφηση άνθρακα". Η καταστροφή των οικοσυστημάτων αυτών οδηγεί στην απελευθέρωση του αποθηκευμένου </w:t>
      </w:r>
      <w:r>
        <w:rPr>
          <w:rFonts w:cs="Arial"/>
          <w:sz w:val="22"/>
          <w:szCs w:val="22"/>
        </w:rPr>
        <w:t>CO</w:t>
      </w:r>
      <w:r>
        <w:rPr>
          <w:rFonts w:cs="Arial"/>
          <w:sz w:val="22"/>
          <w:szCs w:val="22"/>
          <w:lang w:val="el-GR"/>
        </w:rPr>
        <w:t>2 συμβάλλοντας στην κλιματική αλλαγή. Επιπλέον τα λιβάδια Ποσειδωνίας συμβάλουν και στην προστασία των παραλιών από τη διάβρωση μέσω της σταθεροποίησης του πυθμένα και την απομειώση της κυματικής ενέργειας .</w:t>
      </w:r>
    </w:p>
    <w:p w14:paraId="6FA60A89">
      <w:pPr>
        <w:autoSpaceDE w:val="0"/>
        <w:autoSpaceDN w:val="0"/>
        <w:adjustRightInd w:val="0"/>
        <w:spacing w:after="120" w:line="259" w:lineRule="auto"/>
        <w:jc w:val="both"/>
        <w:rPr>
          <w:rFonts w:cs="Arial"/>
          <w:sz w:val="22"/>
          <w:szCs w:val="22"/>
          <w:lang w:val="el-GR"/>
        </w:rPr>
      </w:pPr>
      <w:r>
        <w:rPr>
          <w:rFonts w:cs="Arial"/>
          <w:sz w:val="22"/>
          <w:szCs w:val="22"/>
          <w:lang w:val="el-GR"/>
        </w:rPr>
        <w:t xml:space="preserve">Τα μοναδικά ωκεανογραφικά χαρακτηριστικά του Νοτίου Αιγαίου, όπως η πολύπλοκη ακτογραμμή και βαθυμετρία του, οι θερμοκρασιακές διαβαθμίσεις  του, τα σύνθετα μοτίβα κυκλοφορίας νερού, η υψηλή αλατότητα των υδάτων του και οι αναβλύσεις πλούσιων σε θρεπτικά υδάτινων ζωνών ενισχύουν περαιτέρω την οικολογική του σημασία. Επιπλέον, το εκτεταμένο δίκτυο νησιών και παράκτιων ζωνών παρέχει ζωτικής σημασίας μεταναστευτικές διαδρομές για πολλά θαλάσσια είδη. </w:t>
      </w:r>
    </w:p>
    <w:p w14:paraId="4FEF2BB2">
      <w:pPr>
        <w:autoSpaceDE w:val="0"/>
        <w:autoSpaceDN w:val="0"/>
        <w:adjustRightInd w:val="0"/>
        <w:spacing w:after="120" w:line="259" w:lineRule="auto"/>
        <w:jc w:val="both"/>
        <w:rPr>
          <w:rFonts w:cs="Arial"/>
          <w:sz w:val="22"/>
          <w:szCs w:val="22"/>
          <w:lang w:val="el-GR"/>
        </w:rPr>
      </w:pPr>
      <w:r>
        <w:rPr>
          <w:rFonts w:cs="Arial"/>
          <w:sz w:val="22"/>
          <w:szCs w:val="22"/>
          <w:lang w:val="el-GR"/>
        </w:rPr>
        <w:t>Ωστόσο, αυτή η εύθραυστη βιοποικιλότητα απειλείται όλο και περισσότερο από την υπεραλίευση, τη ρύπανση και την κλιματική αλλαγή, καθιστώντας απαραίτητη την προστασία των θαλάσσιων οικοσυστημάτων. Η προστασία τους συμβάλλει στη διατήρηση της οικολογικής ισορροπίας, ενώ ταυτόχρονα διασφαλίζει τη μακροπρόθεσμη βιωσιμότητα της αλιείας και των παράκτιων κοινοτήτων που βασίζονται στην υγεία και την καλή κατάσταση των θαλάσσιων πόρων του Αιγαίου.</w:t>
      </w:r>
    </w:p>
    <w:p w14:paraId="256C244E">
      <w:pPr>
        <w:pStyle w:val="14"/>
        <w:tabs>
          <w:tab w:val="left" w:pos="0"/>
        </w:tabs>
        <w:spacing w:after="120" w:line="259" w:lineRule="auto"/>
        <w:ind w:left="0"/>
        <w:contextualSpacing w:val="0"/>
        <w:rPr>
          <w:rFonts w:cs="Arial"/>
          <w:b/>
          <w:bCs/>
          <w:sz w:val="22"/>
          <w:szCs w:val="22"/>
          <w:u w:val="single"/>
          <w:lang w:val="el-GR"/>
        </w:rPr>
      </w:pPr>
    </w:p>
    <w:p w14:paraId="176813DE">
      <w:pPr>
        <w:pStyle w:val="14"/>
        <w:tabs>
          <w:tab w:val="left" w:pos="0"/>
        </w:tabs>
        <w:spacing w:after="120" w:line="259" w:lineRule="auto"/>
        <w:ind w:left="0"/>
        <w:contextualSpacing w:val="0"/>
        <w:rPr>
          <w:rFonts w:cs="Arial"/>
          <w:b/>
          <w:bCs/>
          <w:sz w:val="22"/>
          <w:szCs w:val="22"/>
          <w:u w:val="single"/>
          <w:lang w:val="el-GR"/>
        </w:rPr>
      </w:pPr>
    </w:p>
    <w:p w14:paraId="40B9999B">
      <w:pPr>
        <w:pStyle w:val="14"/>
        <w:tabs>
          <w:tab w:val="left" w:pos="0"/>
        </w:tabs>
        <w:spacing w:after="120" w:line="259" w:lineRule="auto"/>
        <w:ind w:left="0"/>
        <w:contextualSpacing w:val="0"/>
        <w:rPr>
          <w:rFonts w:cs="Arial"/>
          <w:b/>
          <w:bCs/>
          <w:sz w:val="22"/>
          <w:szCs w:val="22"/>
          <w:u w:val="single"/>
          <w:lang w:val="el-GR"/>
        </w:rPr>
      </w:pPr>
      <w:r>
        <w:rPr>
          <w:rFonts w:cs="Arial"/>
          <w:b/>
          <w:bCs/>
          <w:sz w:val="22"/>
          <w:szCs w:val="22"/>
          <w:u w:val="single"/>
          <w:lang w:val="el-GR"/>
        </w:rPr>
        <w:t xml:space="preserve">Για το Εθνικό Θαλάσσιο Πάρκο Ιονίου (ΕΘΠΙ): </w:t>
      </w:r>
    </w:p>
    <w:p w14:paraId="2B469DE9">
      <w:pPr>
        <w:pStyle w:val="14"/>
        <w:tabs>
          <w:tab w:val="left" w:pos="0"/>
        </w:tabs>
        <w:spacing w:after="120" w:line="259" w:lineRule="auto"/>
        <w:ind w:left="0"/>
        <w:contextualSpacing w:val="0"/>
        <w:jc w:val="both"/>
        <w:rPr>
          <w:rFonts w:cs="Arial"/>
          <w:sz w:val="22"/>
          <w:szCs w:val="22"/>
          <w:lang w:val="el-GR"/>
        </w:rPr>
      </w:pPr>
      <w:r>
        <w:rPr>
          <w:rFonts w:cs="Arial"/>
          <w:sz w:val="22"/>
          <w:szCs w:val="22"/>
          <w:lang w:val="el-GR"/>
        </w:rPr>
        <w:t xml:space="preserve">Η περιοχή έκτασης του ΕΘΠΙ είναι καίριας σημασίας για πολλά θαλάσσια θηλαστικά, όπως ο φυσητήρας </w:t>
      </w:r>
      <w:r>
        <w:rPr>
          <w:rFonts w:cs="Arial"/>
          <w:i/>
          <w:sz w:val="22"/>
          <w:szCs w:val="22"/>
          <w:lang w:val="el-GR"/>
        </w:rPr>
        <w:t>(Physeter macrocephalus</w:t>
      </w:r>
      <w:r>
        <w:rPr>
          <w:rFonts w:cs="Arial"/>
          <w:sz w:val="22"/>
          <w:szCs w:val="22"/>
          <w:lang w:val="el-GR"/>
        </w:rPr>
        <w:t>), ο ζιφιός (</w:t>
      </w:r>
      <w:r>
        <w:rPr>
          <w:rFonts w:cs="Arial"/>
          <w:i/>
          <w:sz w:val="22"/>
          <w:szCs w:val="22"/>
          <w:lang w:val="el-GR"/>
        </w:rPr>
        <w:t>Ziphius cavirostris</w:t>
      </w:r>
      <w:r>
        <w:rPr>
          <w:rFonts w:cs="Arial"/>
          <w:sz w:val="22"/>
          <w:szCs w:val="22"/>
          <w:lang w:val="el-GR"/>
        </w:rPr>
        <w:t>) και το ζωνοδέλφινο (</w:t>
      </w:r>
      <w:r>
        <w:rPr>
          <w:rFonts w:cs="Arial"/>
          <w:i/>
          <w:sz w:val="22"/>
          <w:szCs w:val="22"/>
          <w:lang w:val="el-GR"/>
        </w:rPr>
        <w:t>Stenella coeruleoalba</w:t>
      </w:r>
      <w:r>
        <w:rPr>
          <w:rFonts w:cs="Arial"/>
          <w:sz w:val="22"/>
          <w:szCs w:val="22"/>
          <w:lang w:val="el-GR"/>
        </w:rPr>
        <w:t xml:space="preserve">), που χρησιμοποιούν την ελληνική Τάφρο του Ιονίου ως κύρια περιοχή διαβίωσης. Η παρουσία αυτών των ειδών, τα οποία απειλούνται από ανθρωπογενείς πιέσεις όπως οι συγκρούσεις με πλοία και ο υποθαλάσσιος θόρυβος, καθιστά αναγκαία την προστασία του οικοτόπου τους. </w:t>
      </w:r>
    </w:p>
    <w:p w14:paraId="4F24BBE0">
      <w:pPr>
        <w:pStyle w:val="14"/>
        <w:tabs>
          <w:tab w:val="left" w:pos="0"/>
        </w:tabs>
        <w:spacing w:after="120" w:line="259" w:lineRule="auto"/>
        <w:ind w:left="0"/>
        <w:contextualSpacing w:val="0"/>
        <w:jc w:val="both"/>
        <w:rPr>
          <w:rFonts w:cs="Arial"/>
          <w:sz w:val="22"/>
          <w:szCs w:val="22"/>
          <w:lang w:val="el-GR"/>
        </w:rPr>
      </w:pPr>
      <w:r>
        <w:rPr>
          <w:rFonts w:cs="Arial"/>
          <w:sz w:val="22"/>
          <w:szCs w:val="22"/>
          <w:lang w:val="el-GR"/>
        </w:rPr>
        <w:t xml:space="preserve">Επιπλέον, η φώκια </w:t>
      </w:r>
      <w:r>
        <w:rPr>
          <w:rFonts w:cs="Arial"/>
          <w:i/>
          <w:sz w:val="22"/>
          <w:szCs w:val="22"/>
          <w:lang w:val="el-GR"/>
        </w:rPr>
        <w:t>Monachus monachus</w:t>
      </w:r>
      <w:r>
        <w:rPr>
          <w:rFonts w:cs="Arial"/>
          <w:sz w:val="22"/>
          <w:szCs w:val="22"/>
          <w:lang w:val="el-GR"/>
        </w:rPr>
        <w:t xml:space="preserve">, ένα από τα πιο απειλούμενα θαλάσσια θηλαστικά παγκοσμίως, καθώς και διάφορα είδη δελφινιών, όπως το </w:t>
      </w:r>
      <w:r>
        <w:rPr>
          <w:rFonts w:cs="Arial"/>
          <w:i/>
          <w:sz w:val="22"/>
          <w:szCs w:val="22"/>
          <w:lang w:val="el-GR"/>
        </w:rPr>
        <w:t>Grampus griseus</w:t>
      </w:r>
      <w:r>
        <w:rPr>
          <w:rFonts w:cs="Arial"/>
          <w:sz w:val="22"/>
          <w:szCs w:val="22"/>
          <w:lang w:val="el-GR"/>
        </w:rPr>
        <w:t xml:space="preserve">, το </w:t>
      </w:r>
      <w:r>
        <w:rPr>
          <w:rFonts w:cs="Arial"/>
          <w:i/>
          <w:sz w:val="22"/>
          <w:szCs w:val="22"/>
          <w:lang w:val="el-GR"/>
        </w:rPr>
        <w:t>Delphinus delphis</w:t>
      </w:r>
      <w:r>
        <w:rPr>
          <w:rFonts w:cs="Arial"/>
          <w:sz w:val="22"/>
          <w:szCs w:val="22"/>
          <w:lang w:val="el-GR"/>
        </w:rPr>
        <w:t xml:space="preserve"> και το </w:t>
      </w:r>
      <w:r>
        <w:rPr>
          <w:rFonts w:cs="Arial"/>
          <w:i/>
          <w:sz w:val="22"/>
          <w:szCs w:val="22"/>
          <w:lang w:val="el-GR"/>
        </w:rPr>
        <w:t>Tursiops truncatus</w:t>
      </w:r>
      <w:r>
        <w:rPr>
          <w:rFonts w:cs="Arial"/>
          <w:sz w:val="22"/>
          <w:szCs w:val="22"/>
          <w:lang w:val="el-GR"/>
        </w:rPr>
        <w:t xml:space="preserve">, εντοπίζονται στην περιοχή, υπογραμμίζοντας την ανάγκη για στοχευμένα μέτρα διατήρησης των ενδιαιτημάτων τους. </w:t>
      </w:r>
    </w:p>
    <w:p w14:paraId="4F485E1C">
      <w:pPr>
        <w:pStyle w:val="14"/>
        <w:tabs>
          <w:tab w:val="left" w:pos="0"/>
        </w:tabs>
        <w:spacing w:after="120" w:line="259" w:lineRule="auto"/>
        <w:ind w:left="0"/>
        <w:contextualSpacing w:val="0"/>
        <w:jc w:val="both"/>
        <w:rPr>
          <w:rFonts w:cs="Arial"/>
          <w:sz w:val="22"/>
          <w:szCs w:val="22"/>
          <w:lang w:val="el-GR"/>
        </w:rPr>
      </w:pPr>
      <w:r>
        <w:rPr>
          <w:rFonts w:cs="Arial"/>
          <w:sz w:val="22"/>
          <w:szCs w:val="22"/>
          <w:lang w:val="el-GR"/>
        </w:rPr>
        <w:t xml:space="preserve">Στην περιοχή περιλαμβάνονται οι σημαντικότερες παραλίες ωοτοκίας της θαλάσσιας χελώνας </w:t>
      </w:r>
      <w:r>
        <w:rPr>
          <w:rFonts w:cs="Arial"/>
          <w:i/>
          <w:sz w:val="22"/>
          <w:szCs w:val="22"/>
          <w:lang w:val="el-GR"/>
        </w:rPr>
        <w:t>Caretta caretta</w:t>
      </w:r>
      <w:r>
        <w:rPr>
          <w:rFonts w:cs="Arial"/>
          <w:sz w:val="22"/>
          <w:szCs w:val="22"/>
          <w:lang w:val="el-GR"/>
        </w:rPr>
        <w:t xml:space="preserve"> στη Mεσόγειο, καθώς και κρίσιμες περιοχές ανάπτυξης, τροφοληψίας και διαχείμασης τόσο για το </w:t>
      </w:r>
      <w:r>
        <w:rPr>
          <w:rFonts w:cs="Arial"/>
          <w:i/>
          <w:sz w:val="22"/>
          <w:szCs w:val="22"/>
          <w:lang w:val="el-GR"/>
        </w:rPr>
        <w:t>είδος Caretta caretta</w:t>
      </w:r>
      <w:r>
        <w:rPr>
          <w:rFonts w:cs="Arial"/>
          <w:sz w:val="22"/>
          <w:szCs w:val="22"/>
          <w:lang w:val="el-GR"/>
        </w:rPr>
        <w:t xml:space="preserve"> όσο και για το είδος </w:t>
      </w:r>
      <w:r>
        <w:rPr>
          <w:rFonts w:cs="Arial"/>
          <w:i/>
          <w:sz w:val="22"/>
          <w:szCs w:val="22"/>
          <w:lang w:val="el-GR"/>
        </w:rPr>
        <w:t>Chelonia mydas</w:t>
      </w:r>
      <w:r>
        <w:rPr>
          <w:rFonts w:cs="Arial"/>
          <w:sz w:val="22"/>
          <w:szCs w:val="22"/>
          <w:lang w:val="el-GR"/>
        </w:rPr>
        <w:t>.</w:t>
      </w:r>
    </w:p>
    <w:p w14:paraId="264F3AEE">
      <w:pPr>
        <w:pStyle w:val="14"/>
        <w:tabs>
          <w:tab w:val="left" w:pos="0"/>
        </w:tabs>
        <w:spacing w:after="120" w:line="259" w:lineRule="auto"/>
        <w:ind w:left="0"/>
        <w:contextualSpacing w:val="0"/>
        <w:jc w:val="both"/>
        <w:rPr>
          <w:rFonts w:cs="Arial"/>
          <w:sz w:val="22"/>
          <w:szCs w:val="22"/>
          <w:lang w:val="el-GR"/>
        </w:rPr>
      </w:pPr>
      <w:r>
        <w:rPr>
          <w:rFonts w:cs="Arial"/>
          <w:sz w:val="22"/>
          <w:szCs w:val="22"/>
          <w:lang w:val="el-GR"/>
        </w:rPr>
        <w:t xml:space="preserve">Από οικολογική άποψη, η περιοχή διαθέτει εξαιρετικής σημασίας οικοτόπους, όπως τα λιβάδια </w:t>
      </w:r>
      <w:r>
        <w:rPr>
          <w:rFonts w:cs="Arial"/>
          <w:i/>
          <w:sz w:val="22"/>
          <w:szCs w:val="22"/>
          <w:lang w:val="el-GR"/>
        </w:rPr>
        <w:t>Posidonia oceanica</w:t>
      </w:r>
      <w:r>
        <w:rPr>
          <w:rFonts w:cs="Arial"/>
          <w:sz w:val="22"/>
          <w:szCs w:val="22"/>
          <w:lang w:val="el-GR"/>
        </w:rPr>
        <w:t xml:space="preserve">, τα οποία συμβάλλουν στην αποθήκευση άνθρακα, και υφάλους με μακροφυτικές βιοκοινωνίες μεγάλων φαιοφυκών του γένους </w:t>
      </w:r>
      <w:r>
        <w:rPr>
          <w:rFonts w:cs="Arial"/>
          <w:i/>
          <w:sz w:val="22"/>
          <w:szCs w:val="22"/>
          <w:lang w:val="el-GR"/>
        </w:rPr>
        <w:t>Cystoseira sensu lato</w:t>
      </w:r>
      <w:r>
        <w:rPr>
          <w:rFonts w:cs="Arial"/>
          <w:sz w:val="22"/>
          <w:szCs w:val="22"/>
          <w:lang w:val="el-GR"/>
        </w:rPr>
        <w:t xml:space="preserve"> στα ρηχά και κοραλλιγενείς βιοκοινωνίες στα βαθύτερα που υποστηρίζουν πλούσια βιοποικιλότητα. Οι ύφαλοι και τα βαθύβια κοράλλια σε βαθιά νερά αποτελούν επίσης σημαντικούς βιογενείς οικοτόπους, υποστηρίζοντας μοναδικά οικοσυστήματα που κινδυνεύουν από καταστροφικές δραστηριότητες, όπως η αλιεία με συρόμενα εργαλεία.</w:t>
      </w:r>
    </w:p>
    <w:p w14:paraId="48947F5F">
      <w:pPr>
        <w:pStyle w:val="26"/>
        <w:spacing w:line="259" w:lineRule="auto"/>
        <w:rPr>
          <w:rFonts w:ascii="Aptos" w:hAnsi="Aptos" w:eastAsia="Aptos" w:cs="Arial"/>
          <w:color w:val="000000"/>
          <w:kern w:val="2"/>
          <w:sz w:val="22"/>
          <w:szCs w:val="22"/>
          <w:lang w:val="el-GR" w:eastAsia="en-US"/>
        </w:rPr>
      </w:pPr>
      <w:r>
        <w:rPr>
          <w:rFonts w:ascii="Aptos" w:hAnsi="Aptos" w:eastAsia="Aptos" w:cs="Arial"/>
          <w:kern w:val="2"/>
          <w:sz w:val="22"/>
          <w:szCs w:val="22"/>
          <w:lang w:val="el-GR" w:eastAsia="en-US"/>
        </w:rPr>
        <w:t xml:space="preserve">Το πάρκο σχεδιάστηκε για να καλύψει τόσο παράκτιες όσο και βαθύτερες θαλάσσιες ζώνες, περιλαμβάνοντας σημαντικά τμήματα της Ελληνικής Τάφρου, η οποία αποτελεί πυρήνα υψηλής βιοποικιλότητας. Η ζωνοποίηση του πάρκου επιτρέπει την εφαρμογή </w:t>
      </w:r>
      <w:r>
        <w:rPr>
          <w:rFonts w:ascii="Aptos" w:hAnsi="Aptos" w:eastAsia="Aptos" w:cs="Arial"/>
          <w:color w:val="000000"/>
          <w:kern w:val="2"/>
          <w:sz w:val="22"/>
          <w:szCs w:val="22"/>
          <w:lang w:val="el-GR" w:eastAsia="en-US"/>
        </w:rPr>
        <w:t xml:space="preserve">στοχευμένων μέτρων διαχείρισης και διατήρησης, όπως περιορισμοί στην καταστρεπτική αλιεία και η ρύθμιση της ναυσιπλοΐας, ώστε να μειωθούν οι επιπτώσεις στις προστατευόμενες περιοχές. </w:t>
      </w:r>
    </w:p>
    <w:p w14:paraId="59BDD5C9">
      <w:pPr>
        <w:pStyle w:val="26"/>
        <w:spacing w:line="259" w:lineRule="auto"/>
        <w:rPr>
          <w:rFonts w:ascii="Aptos" w:hAnsi="Aptos" w:cs="Arial"/>
          <w:sz w:val="22"/>
          <w:szCs w:val="22"/>
          <w:lang w:val="el-GR"/>
        </w:rPr>
      </w:pPr>
      <w:r>
        <w:rPr>
          <w:rFonts w:ascii="Aptos" w:hAnsi="Aptos" w:eastAsia="Aptos" w:cs="Arial"/>
          <w:color w:val="000000"/>
          <w:kern w:val="2"/>
          <w:sz w:val="22"/>
          <w:szCs w:val="22"/>
          <w:lang w:val="el-GR" w:eastAsia="en-US"/>
        </w:rPr>
        <w:t>Για τον καθορισμό προτεραιοτήτων διαχείρισης, τον προσδιορισμό των ζωνών προστασίας και των επιτρεπόμενων χρήσεων, εφαρμόστηκε η προσέγγιση του Συστηματικού Σχεδιασμού</w:t>
      </w:r>
      <w:r>
        <w:rPr>
          <w:rFonts w:ascii="Aptos" w:hAnsi="Aptos" w:eastAsia="Aptos" w:cs="Arial"/>
          <w:kern w:val="2"/>
          <w:sz w:val="22"/>
          <w:szCs w:val="22"/>
          <w:lang w:val="el-GR" w:eastAsia="en-US"/>
        </w:rPr>
        <w:t xml:space="preserve"> Διατήρησης (Systematic Conservation Planning), με στόχο την ιεράρχηση περιοχών με βάση τη συνολική αξία τους για τη βιοποικιλότητα. Η προσέγγιση αυτή έλαβε υπόψη την κατανομή </w:t>
      </w:r>
      <w:r>
        <w:rPr>
          <w:rFonts w:ascii="Aptos" w:hAnsi="Aptos" w:cs="Arial"/>
          <w:sz w:val="22"/>
          <w:szCs w:val="22"/>
        </w:rPr>
        <w:t>των ανθρώπινων δραστηριοτήτων και την οικολογική συνδεσιμότητα των οικοσυστημάτων.</w:t>
      </w:r>
    </w:p>
    <w:p w14:paraId="62BF750E">
      <w:pPr>
        <w:spacing w:after="120" w:line="259" w:lineRule="auto"/>
        <w:jc w:val="both"/>
        <w:rPr>
          <w:rFonts w:eastAsia="Times New Roman" w:cs="Arial"/>
          <w:b/>
          <w:kern w:val="0"/>
          <w:sz w:val="22"/>
          <w:szCs w:val="22"/>
          <w:u w:val="single"/>
          <w:lang w:val="el-GR" w:eastAsia="el-GR"/>
        </w:rPr>
      </w:pPr>
      <w:r>
        <w:rPr>
          <w:rFonts w:eastAsia="Times New Roman" w:cs="Arial"/>
          <w:b/>
          <w:kern w:val="0"/>
          <w:sz w:val="22"/>
          <w:szCs w:val="22"/>
          <w:u w:val="single"/>
          <w:lang w:val="el-GR" w:eastAsia="el-GR"/>
        </w:rPr>
        <w:t>Η έκταση των δύο Εθνικών Θαλάσσιων Πάρκων</w:t>
      </w:r>
    </w:p>
    <w:p w14:paraId="65FA8FA5">
      <w:pPr>
        <w:spacing w:after="120" w:line="259" w:lineRule="auto"/>
        <w:jc w:val="both"/>
        <w:rPr>
          <w:rFonts w:eastAsia="Times New Roman" w:cs="Arial"/>
          <w:color w:val="000000"/>
          <w:kern w:val="0"/>
          <w:sz w:val="22"/>
          <w:szCs w:val="22"/>
          <w:lang w:val="el-GR" w:eastAsia="el-GR"/>
        </w:rPr>
      </w:pPr>
      <w:r>
        <w:rPr>
          <w:rFonts w:eastAsia="Times New Roman" w:cs="Arial"/>
          <w:kern w:val="0"/>
          <w:sz w:val="22"/>
          <w:szCs w:val="22"/>
          <w:lang w:val="el-GR" w:eastAsia="el-GR"/>
        </w:rPr>
        <w:t xml:space="preserve">Το Εθνικό Θαλάσσιο Πάρκο Νοτίου Αιγαίου 1 – Νότιες Κυκλάδες έχει </w:t>
      </w:r>
      <w:r>
        <w:rPr>
          <w:rFonts w:eastAsia="Times New Roman" w:cs="Arial"/>
          <w:b/>
          <w:bCs/>
          <w:kern w:val="0"/>
          <w:sz w:val="22"/>
          <w:szCs w:val="22"/>
          <w:lang w:val="el-GR" w:eastAsia="el-GR"/>
        </w:rPr>
        <w:t>συνολική έκταση σχεδόν 9.500 (9.477) km</w:t>
      </w:r>
      <w:r>
        <w:rPr>
          <w:rFonts w:eastAsia="Times New Roman" w:cs="Arial"/>
          <w:b/>
          <w:bCs/>
          <w:kern w:val="0"/>
          <w:sz w:val="22"/>
          <w:szCs w:val="22"/>
          <w:vertAlign w:val="superscript"/>
          <w:lang w:val="el-GR" w:eastAsia="el-GR"/>
        </w:rPr>
        <w:t>2</w:t>
      </w:r>
      <w:r>
        <w:rPr>
          <w:rFonts w:eastAsia="Times New Roman" w:cs="Arial"/>
          <w:b/>
          <w:bCs/>
          <w:kern w:val="0"/>
          <w:sz w:val="22"/>
          <w:szCs w:val="22"/>
          <w:lang w:val="el-GR" w:eastAsia="el-GR"/>
        </w:rPr>
        <w:t>, εκ των οποίων 9.189 km</w:t>
      </w:r>
      <w:r>
        <w:rPr>
          <w:rFonts w:eastAsia="Times New Roman" w:cs="Arial"/>
          <w:b/>
          <w:bCs/>
          <w:kern w:val="0"/>
          <w:sz w:val="22"/>
          <w:szCs w:val="22"/>
          <w:vertAlign w:val="superscript"/>
          <w:lang w:val="el-GR" w:eastAsia="el-GR"/>
        </w:rPr>
        <w:t>2</w:t>
      </w:r>
      <w:r>
        <w:rPr>
          <w:rFonts w:eastAsia="Times New Roman" w:cs="Arial"/>
          <w:b/>
          <w:bCs/>
          <w:kern w:val="0"/>
          <w:sz w:val="22"/>
          <w:szCs w:val="22"/>
          <w:lang w:val="el-GR" w:eastAsia="el-GR"/>
        </w:rPr>
        <w:t xml:space="preserve"> αφορά ελληνικές θαλάσσιες ζώνες</w:t>
      </w:r>
      <w:r>
        <w:rPr>
          <w:rFonts w:eastAsia="Times New Roman" w:cs="Arial"/>
          <w:kern w:val="0"/>
          <w:sz w:val="22"/>
          <w:szCs w:val="22"/>
          <w:lang w:val="el-GR" w:eastAsia="el-GR"/>
        </w:rPr>
        <w:t xml:space="preserve"> και 288 km</w:t>
      </w:r>
      <w:r>
        <w:rPr>
          <w:rFonts w:eastAsia="Times New Roman" w:cs="Arial"/>
          <w:kern w:val="0"/>
          <w:sz w:val="22"/>
          <w:szCs w:val="22"/>
          <w:vertAlign w:val="superscript"/>
          <w:lang w:val="el-GR" w:eastAsia="el-GR"/>
        </w:rPr>
        <w:t>2</w:t>
      </w:r>
      <w:r>
        <w:rPr>
          <w:rFonts w:eastAsia="Times New Roman" w:cs="Arial"/>
          <w:kern w:val="0"/>
          <w:sz w:val="22"/>
          <w:szCs w:val="22"/>
          <w:lang w:val="el-GR" w:eastAsia="el-GR"/>
        </w:rPr>
        <w:t xml:space="preserve"> αφορά χερσαίες </w:t>
      </w:r>
      <w:r>
        <w:rPr>
          <w:rFonts w:eastAsia="Times New Roman" w:cs="Arial"/>
          <w:color w:val="000000"/>
          <w:kern w:val="0"/>
          <w:sz w:val="22"/>
          <w:szCs w:val="22"/>
          <w:lang w:val="el-GR" w:eastAsia="el-GR"/>
        </w:rPr>
        <w:t>εκτάσεις. Περιλαμβάνει 73 συμπλέγματα νησιών, τα 68 εκ των οποίων ανήκουν στο ευρωπαϊκό δίκτυο Natura 2000 (Παράρτημα 1) και τα υπόλοιπα 5 στο δίκτυο των IBA (Important Bird Areas) του Birdlife International, με συνολική έκταση 1,7 km</w:t>
      </w:r>
      <w:r>
        <w:rPr>
          <w:rFonts w:eastAsia="Times New Roman" w:cs="Arial"/>
          <w:color w:val="000000"/>
          <w:kern w:val="0"/>
          <w:sz w:val="22"/>
          <w:szCs w:val="22"/>
          <w:vertAlign w:val="superscript"/>
          <w:lang w:val="el-GR" w:eastAsia="el-GR"/>
        </w:rPr>
        <w:t>2</w:t>
      </w:r>
      <w:r>
        <w:rPr>
          <w:rFonts w:eastAsia="Times New Roman" w:cs="Arial"/>
          <w:color w:val="000000"/>
          <w:kern w:val="0"/>
          <w:sz w:val="22"/>
          <w:szCs w:val="22"/>
          <w:lang w:val="el-GR" w:eastAsia="el-GR"/>
        </w:rPr>
        <w:t>, τα οποία και αναμένεται σύντομα να ενταχθούν στο Δίκτυο Natura 2000 ως ΖΕΠ μέσω του εν εξελίξει προγράμματος της εποπτείας.</w:t>
      </w:r>
    </w:p>
    <w:p w14:paraId="5865ACEB">
      <w:pPr>
        <w:spacing w:after="120" w:line="259" w:lineRule="auto"/>
        <w:jc w:val="both"/>
        <w:rPr>
          <w:rFonts w:eastAsia="Times New Roman" w:cs="Arial"/>
          <w:color w:val="000000"/>
          <w:kern w:val="0"/>
          <w:sz w:val="22"/>
          <w:szCs w:val="22"/>
          <w:lang w:val="el-GR" w:eastAsia="el-GR"/>
        </w:rPr>
      </w:pPr>
      <w:r>
        <w:rPr>
          <w:rFonts w:eastAsia="Times New Roman" w:cs="Arial"/>
          <w:color w:val="000000"/>
          <w:kern w:val="0"/>
          <w:sz w:val="22"/>
          <w:szCs w:val="22"/>
          <w:lang w:val="el-GR" w:eastAsia="el-GR"/>
        </w:rPr>
        <w:t xml:space="preserve">Το Πάρκο Ιονίου διασυνδέει πολλές υφιστάμενες προτατευόμενες περιοχές (Παράρτημα 2) έχει </w:t>
      </w:r>
      <w:r>
        <w:rPr>
          <w:rFonts w:eastAsia="Times New Roman" w:cs="Arial"/>
          <w:b/>
          <w:bCs/>
          <w:color w:val="000000"/>
          <w:kern w:val="0"/>
          <w:sz w:val="22"/>
          <w:szCs w:val="22"/>
          <w:lang w:val="el-GR" w:eastAsia="el-GR"/>
        </w:rPr>
        <w:t>συνολική έκταση περίπου 18.000 (17.970) km</w:t>
      </w:r>
      <w:r>
        <w:rPr>
          <w:rFonts w:eastAsia="Times New Roman" w:cs="Arial"/>
          <w:b/>
          <w:bCs/>
          <w:color w:val="000000"/>
          <w:kern w:val="0"/>
          <w:sz w:val="22"/>
          <w:szCs w:val="22"/>
          <w:vertAlign w:val="superscript"/>
          <w:lang w:val="el-GR" w:eastAsia="el-GR"/>
        </w:rPr>
        <w:t>2</w:t>
      </w:r>
      <w:r>
        <w:rPr>
          <w:rFonts w:eastAsia="Times New Roman" w:cs="Arial"/>
          <w:b/>
          <w:bCs/>
          <w:color w:val="000000"/>
          <w:kern w:val="0"/>
          <w:sz w:val="22"/>
          <w:szCs w:val="22"/>
          <w:lang w:val="el-GR" w:eastAsia="el-GR"/>
        </w:rPr>
        <w:t>, εκ των οποίων 17.690 km</w:t>
      </w:r>
      <w:r>
        <w:rPr>
          <w:rFonts w:eastAsia="Times New Roman" w:cs="Arial"/>
          <w:b/>
          <w:bCs/>
          <w:color w:val="000000"/>
          <w:kern w:val="0"/>
          <w:sz w:val="22"/>
          <w:szCs w:val="22"/>
          <w:vertAlign w:val="superscript"/>
          <w:lang w:val="el-GR" w:eastAsia="el-GR"/>
        </w:rPr>
        <w:t>2</w:t>
      </w:r>
      <w:r>
        <w:rPr>
          <w:rFonts w:eastAsia="Times New Roman" w:cs="Arial"/>
          <w:b/>
          <w:bCs/>
          <w:color w:val="000000"/>
          <w:kern w:val="0"/>
          <w:sz w:val="22"/>
          <w:szCs w:val="22"/>
          <w:lang w:val="el-GR" w:eastAsia="el-GR"/>
        </w:rPr>
        <w:t xml:space="preserve"> αφορά ελληνικές θαλάσσιες ζώνες</w:t>
      </w:r>
      <w:r>
        <w:rPr>
          <w:rFonts w:eastAsia="Times New Roman" w:cs="Arial"/>
          <w:color w:val="000000"/>
          <w:kern w:val="0"/>
          <w:sz w:val="22"/>
          <w:szCs w:val="22"/>
          <w:lang w:val="el-GR" w:eastAsia="el-GR"/>
        </w:rPr>
        <w:t xml:space="preserve"> και 280 km</w:t>
      </w:r>
      <w:r>
        <w:rPr>
          <w:rFonts w:eastAsia="Times New Roman" w:cs="Arial"/>
          <w:color w:val="000000"/>
          <w:kern w:val="0"/>
          <w:sz w:val="22"/>
          <w:szCs w:val="22"/>
          <w:vertAlign w:val="superscript"/>
          <w:lang w:val="el-GR" w:eastAsia="el-GR"/>
        </w:rPr>
        <w:t>2</w:t>
      </w:r>
      <w:r>
        <w:rPr>
          <w:rFonts w:eastAsia="Times New Roman" w:cs="Arial"/>
          <w:color w:val="000000"/>
          <w:kern w:val="0"/>
          <w:sz w:val="22"/>
          <w:szCs w:val="22"/>
          <w:lang w:val="el-GR" w:eastAsia="el-GR"/>
        </w:rPr>
        <w:t xml:space="preserve"> αφορά χερσαίες εκτάσεις.  </w:t>
      </w:r>
    </w:p>
    <w:p w14:paraId="4FA79680">
      <w:pPr>
        <w:spacing w:after="120" w:line="259" w:lineRule="auto"/>
        <w:jc w:val="both"/>
        <w:rPr>
          <w:b/>
          <w:kern w:val="0"/>
          <w:sz w:val="22"/>
          <w:lang w:val="el-GR"/>
        </w:rPr>
      </w:pPr>
      <w:r>
        <w:rPr>
          <w:b/>
          <w:kern w:val="0"/>
          <w:sz w:val="22"/>
          <w:lang w:val="el-GR"/>
        </w:rPr>
        <w:t>Με τα 2 θαλάσσια πάρκα αυξάνεται η προστασία στο 36,2% των χωρικών υδάτων και εκπληρώνεται, με αυτόν τον τρόπο, η δέσμευση της χώρας μας για τη διεύρυνση του δικτύου θαλάσσιων προστατευμένων περιοχών, στο πλαίσιο της πρωτοβουλίας 30</w:t>
      </w:r>
      <w:r>
        <w:rPr>
          <w:b/>
          <w:kern w:val="0"/>
          <w:sz w:val="22"/>
        </w:rPr>
        <w:t>x</w:t>
      </w:r>
      <w:r>
        <w:rPr>
          <w:b/>
          <w:kern w:val="0"/>
          <w:sz w:val="22"/>
          <w:lang w:val="el-GR"/>
        </w:rPr>
        <w:t>30.</w:t>
      </w:r>
    </w:p>
    <w:p w14:paraId="6B459240">
      <w:pPr>
        <w:pStyle w:val="14"/>
        <w:spacing w:after="0" w:line="259" w:lineRule="auto"/>
        <w:ind w:left="0"/>
        <w:contextualSpacing w:val="0"/>
        <w:rPr>
          <w:rFonts w:cs="Arial"/>
          <w:b/>
          <w:bCs/>
          <w:sz w:val="2"/>
          <w:szCs w:val="2"/>
          <w:lang w:val="el-GR"/>
        </w:rPr>
      </w:pPr>
      <w:r>
        <w:rPr>
          <w:rFonts w:cs="Arial"/>
          <w:b/>
          <w:bCs/>
          <w:sz w:val="22"/>
          <w:szCs w:val="22"/>
          <w:lang w:val="el-GR"/>
        </w:rPr>
        <w:br w:type="page"/>
      </w:r>
    </w:p>
    <w:p w14:paraId="670894B6">
      <w:pPr>
        <w:pStyle w:val="14"/>
        <w:shd w:val="clear" w:color="auto" w:fill="E8E8E8"/>
        <w:spacing w:after="120" w:line="259" w:lineRule="auto"/>
        <w:ind w:left="0"/>
        <w:contextualSpacing w:val="0"/>
        <w:jc w:val="both"/>
        <w:rPr>
          <w:rFonts w:cs="Arial"/>
          <w:b/>
          <w:bCs/>
          <w:sz w:val="22"/>
          <w:szCs w:val="22"/>
          <w:lang w:val="el-GR"/>
        </w:rPr>
      </w:pPr>
      <w:r>
        <w:rPr>
          <w:rFonts w:cs="Arial"/>
          <w:b/>
          <w:bCs/>
          <w:sz w:val="22"/>
          <w:szCs w:val="22"/>
          <w:lang w:val="el-GR"/>
        </w:rPr>
        <w:t xml:space="preserve">Ερωτήσεις και Απαντήσεις για την προστιθέμενη αξία των δύο νέων Εθνικών Θαλάσσιων Πάρκων και τις ανθρώπινες δραστηριότητες σε αυτά </w:t>
      </w:r>
    </w:p>
    <w:p w14:paraId="4F3E06DF">
      <w:pPr>
        <w:pStyle w:val="14"/>
        <w:spacing w:after="120" w:line="259" w:lineRule="auto"/>
        <w:ind w:left="0"/>
        <w:contextualSpacing w:val="0"/>
        <w:rPr>
          <w:rFonts w:cs="Arial"/>
          <w:b/>
          <w:bCs/>
          <w:sz w:val="22"/>
          <w:szCs w:val="22"/>
          <w:lang w:val="el-GR"/>
        </w:rPr>
      </w:pPr>
    </w:p>
    <w:p w14:paraId="199A836A">
      <w:pPr>
        <w:pStyle w:val="14"/>
        <w:spacing w:after="120" w:line="259" w:lineRule="auto"/>
        <w:ind w:left="0"/>
        <w:contextualSpacing w:val="0"/>
        <w:rPr>
          <w:rFonts w:cs="Arial"/>
          <w:b/>
          <w:bCs/>
          <w:sz w:val="22"/>
          <w:szCs w:val="22"/>
          <w:lang w:val="el-GR"/>
        </w:rPr>
      </w:pPr>
      <w:r>
        <w:rPr>
          <w:rFonts w:cs="Arial"/>
          <w:b/>
          <w:bCs/>
          <w:sz w:val="22"/>
          <w:szCs w:val="22"/>
          <w:lang w:val="el-GR"/>
        </w:rPr>
        <w:t>1. Τι αλλάζει σε επίπεδο αλιείας στα δύο νέα Εθνικά Θαλάσσια Πάρκα;</w:t>
      </w:r>
    </w:p>
    <w:p w14:paraId="57B02A49">
      <w:pPr>
        <w:pStyle w:val="14"/>
        <w:tabs>
          <w:tab w:val="left" w:pos="0"/>
        </w:tabs>
        <w:spacing w:after="0" w:line="259" w:lineRule="auto"/>
        <w:ind w:left="0"/>
        <w:contextualSpacing w:val="0"/>
        <w:jc w:val="both"/>
        <w:rPr>
          <w:rFonts w:cs="Arial"/>
          <w:sz w:val="22"/>
          <w:szCs w:val="22"/>
          <w:lang w:val="el-GR"/>
        </w:rPr>
      </w:pPr>
      <w:r>
        <w:rPr>
          <w:rFonts w:cs="Arial"/>
          <w:sz w:val="22"/>
          <w:szCs w:val="22"/>
          <w:lang w:val="el-GR"/>
        </w:rPr>
        <w:t xml:space="preserve">Στα δύο νέα εθνικά θαλάσσια πάρκα απαγορεύεται παντού η αλιεία με μηχανότρατα ή βιντζότρατα, όπως άλλωστε και στο υφιστάμενο Θαλάσσιο Πάρκο της Αλοννήσου. </w:t>
      </w:r>
    </w:p>
    <w:p w14:paraId="1C5315E0">
      <w:pPr>
        <w:pStyle w:val="14"/>
        <w:tabs>
          <w:tab w:val="left" w:pos="0"/>
        </w:tabs>
        <w:spacing w:line="259" w:lineRule="auto"/>
        <w:ind w:left="0"/>
        <w:contextualSpacing w:val="0"/>
        <w:jc w:val="both"/>
        <w:rPr>
          <w:rFonts w:cs="Arial"/>
          <w:b/>
          <w:bCs/>
          <w:sz w:val="22"/>
          <w:szCs w:val="22"/>
          <w:lang w:val="el-GR"/>
        </w:rPr>
      </w:pPr>
    </w:p>
    <w:p w14:paraId="3A7B06AC">
      <w:pPr>
        <w:pStyle w:val="14"/>
        <w:spacing w:after="120" w:line="259" w:lineRule="auto"/>
        <w:ind w:left="0"/>
        <w:contextualSpacing w:val="0"/>
        <w:rPr>
          <w:rFonts w:cs="Arial"/>
          <w:b/>
          <w:bCs/>
          <w:sz w:val="22"/>
          <w:szCs w:val="22"/>
          <w:lang w:val="el-GR"/>
        </w:rPr>
      </w:pPr>
      <w:r>
        <w:rPr>
          <w:rFonts w:cs="Arial"/>
          <w:b/>
          <w:bCs/>
          <w:sz w:val="22"/>
          <w:szCs w:val="22"/>
          <w:lang w:val="el-GR"/>
        </w:rPr>
        <w:t>2. Η θεσμοθέτηση των δύο νέων Εθνικών Θαλάσσιων Πάρκων αποκλείει τις ανθρώπινες δραστηριότητες;</w:t>
      </w:r>
    </w:p>
    <w:p w14:paraId="1CBBB53A">
      <w:pPr>
        <w:pStyle w:val="23"/>
        <w:tabs>
          <w:tab w:val="left" w:pos="0"/>
        </w:tabs>
        <w:spacing w:before="0" w:beforeAutospacing="0" w:after="0" w:afterAutospacing="0" w:line="259" w:lineRule="auto"/>
        <w:jc w:val="both"/>
        <w:rPr>
          <w:rFonts w:ascii="Aptos" w:hAnsi="Aptos" w:cs="Arial"/>
          <w:bCs/>
          <w:color w:val="1D2228"/>
          <w:sz w:val="22"/>
          <w:szCs w:val="22"/>
        </w:rPr>
      </w:pPr>
      <w:r>
        <w:rPr>
          <w:rFonts w:ascii="Aptos" w:hAnsi="Aptos" w:cs="Arial"/>
          <w:color w:val="1D2228"/>
          <w:sz w:val="22"/>
          <w:szCs w:val="22"/>
        </w:rPr>
        <w:t xml:space="preserve">Σε καμία περίπτωση. Δραστηριότητες όπως η κτηνοτροφία, η μελισσοκομία και η μικρή παράκτια αλιεία, που ασκούνται για χιλιάδες χρόνια στην περιοχή και έχουν συν διαμορφώσει τις αξίες του φυσικού της αποθέματος, διατηρούνται και όπου είναι δυνατό ενισχύονται ώστε να παραμείνουν ενεργές. Ξερολιθιές, αναβαθμίδες, στέρνες και άλλα στοιχεία του τοπικού πολιτιστικού αποθέματος συντηρούνται και αναδεικνύονται στο πλαίσιο των δύο νέων Εθνικών Θαλάσσιων Πάρκων. Και τα δύο νέα θαλάσσια πάρκα ακολουθούν την σύγχρονη προσέγγιση κατά την οποία το πάρκο συνυπάρχει και </w:t>
      </w:r>
      <w:r>
        <w:rPr>
          <w:rFonts w:ascii="Aptos" w:hAnsi="Aptos" w:cs="Arial"/>
          <w:bCs/>
          <w:iCs/>
          <w:color w:val="1D2228"/>
          <w:sz w:val="22"/>
          <w:szCs w:val="22"/>
        </w:rPr>
        <w:t>ενθαρρύνει</w:t>
      </w:r>
      <w:r>
        <w:rPr>
          <w:rFonts w:ascii="Aptos" w:hAnsi="Aptos" w:cs="Arial"/>
          <w:color w:val="1D2228"/>
          <w:sz w:val="22"/>
          <w:szCs w:val="22"/>
        </w:rPr>
        <w:t xml:space="preserve"> τις βιώσιμες ανθρώπινες δραστηριότητες, στην λογική της </w:t>
      </w:r>
      <w:r>
        <w:rPr>
          <w:rFonts w:ascii="Aptos" w:hAnsi="Aptos" w:cs="Arial"/>
          <w:bCs/>
          <w:color w:val="1D2228"/>
          <w:sz w:val="22"/>
          <w:szCs w:val="22"/>
        </w:rPr>
        <w:t>συνύπαρξης.</w:t>
      </w:r>
    </w:p>
    <w:p w14:paraId="68242325">
      <w:pPr>
        <w:pStyle w:val="14"/>
        <w:tabs>
          <w:tab w:val="left" w:pos="0"/>
        </w:tabs>
        <w:spacing w:line="259" w:lineRule="auto"/>
        <w:ind w:left="0"/>
        <w:contextualSpacing w:val="0"/>
        <w:jc w:val="both"/>
        <w:rPr>
          <w:rFonts w:cs="Arial"/>
          <w:b/>
          <w:bCs/>
          <w:sz w:val="22"/>
          <w:szCs w:val="22"/>
          <w:lang w:val="el-GR"/>
        </w:rPr>
      </w:pPr>
    </w:p>
    <w:p w14:paraId="4D6541AB">
      <w:pPr>
        <w:pStyle w:val="14"/>
        <w:spacing w:after="120" w:line="259" w:lineRule="auto"/>
        <w:ind w:left="0"/>
        <w:contextualSpacing w:val="0"/>
        <w:rPr>
          <w:rFonts w:cs="Arial"/>
          <w:b/>
          <w:bCs/>
          <w:sz w:val="22"/>
          <w:szCs w:val="22"/>
          <w:lang w:val="el-GR"/>
        </w:rPr>
      </w:pPr>
      <w:r>
        <w:rPr>
          <w:rFonts w:cs="Arial"/>
          <w:b/>
          <w:bCs/>
          <w:sz w:val="22"/>
          <w:szCs w:val="22"/>
          <w:lang w:val="el-GR"/>
        </w:rPr>
        <w:t xml:space="preserve">3. Ποια είναι τα πρόσθετα πλεονεκτήματα των δύο νέων, ενιαίων, εθνικών θαλάσσιων πάρκων σε σχέση με τις μέχρι σήμερα μεμονωμένες προστατευόμενες περιοχές (δικτύου </w:t>
      </w:r>
      <w:r>
        <w:rPr>
          <w:rFonts w:cs="Arial"/>
          <w:b/>
          <w:bCs/>
          <w:sz w:val="22"/>
          <w:szCs w:val="22"/>
        </w:rPr>
        <w:t>Natura</w:t>
      </w:r>
      <w:r>
        <w:rPr>
          <w:rFonts w:cs="Arial"/>
          <w:b/>
          <w:bCs/>
          <w:sz w:val="22"/>
          <w:szCs w:val="22"/>
          <w:lang w:val="el-GR"/>
        </w:rPr>
        <w:t xml:space="preserve"> 2000); </w:t>
      </w:r>
    </w:p>
    <w:p w14:paraId="4095274B">
      <w:pPr>
        <w:pStyle w:val="25"/>
        <w:shd w:val="clear" w:color="auto" w:fill="FFFFFF"/>
        <w:tabs>
          <w:tab w:val="left" w:pos="0"/>
        </w:tabs>
        <w:spacing w:before="0" w:beforeAutospacing="0" w:line="259" w:lineRule="auto"/>
        <w:jc w:val="both"/>
        <w:rPr>
          <w:rFonts w:ascii="Aptos" w:hAnsi="Aptos" w:cs="Arial"/>
          <w:color w:val="1D2228"/>
          <w:sz w:val="22"/>
          <w:szCs w:val="22"/>
        </w:rPr>
      </w:pPr>
      <w:r>
        <w:rPr>
          <w:rFonts w:ascii="Aptos" w:hAnsi="Aptos" w:cs="Arial"/>
          <w:color w:val="1D2228"/>
          <w:sz w:val="22"/>
          <w:szCs w:val="22"/>
        </w:rPr>
        <w:t xml:space="preserve">Τα θαλάσσια πάρκα, τα οποία είναι δίκτυα διασυνδεδεμένων προστατευόμενων περιοχών, προσφέρουν σημαντικά πλεονεκτήματα σε σχέση με τις μεμονωμένες προστατευόμενες περιοχές, </w:t>
      </w:r>
      <w:r>
        <w:rPr>
          <w:rFonts w:ascii="Aptos" w:hAnsi="Aptos" w:cs="Arial"/>
          <w:sz w:val="22"/>
          <w:szCs w:val="22"/>
        </w:rPr>
        <w:t xml:space="preserve">κυρίως λόγω της ευρύτερης οικολογικής, διοικητικής και κοινωνικοοικονομικής προσέγγισης. </w:t>
      </w:r>
      <w:r>
        <w:rPr>
          <w:rFonts w:ascii="Aptos" w:hAnsi="Aptos" w:cs="Arial"/>
          <w:color w:val="1D2228"/>
          <w:sz w:val="22"/>
          <w:szCs w:val="22"/>
        </w:rPr>
        <w:t>Η δημιουργία των πάρκων επιτρέπει την πιο ολοκληρωμένη διαχείριση των προστατευόμενων περιοχών. Αντιμετωπίζει τον χώρο με ενιαίο τρόπο και επομένως δίνει τη δυνατότητα ορθότερης ρύθμισης των επιτρεπόμενων χρήσεων και δραστηριοτήτων εντάσσοντας και τους κατοίκους ως βασική παράμετρο για την αποτελεσματική προστασία του φυσικού περιβάλλοντος. Τα πάρκα μπορούν να προστατεύσουν καλύτερα τα είδη, τους οικοτόπους και τα οικοσυστήματα, να βελτιώσουν τη διαχείριση της αλιείας, να υποστηρίξουν τις τοπικές κοινότητες και να διευκολύνουν την επιστημονική έρευνα εξασφαλίζοντας προνομιακή πρόσβαση σε χρηματοδότηση και διεθνείς συνεργασίες. Δημιουργώντας ένα μεγαλύτερο και πιο ολοκληρωμένο σύστημα, τα θαλάσσια πάρκα μπορούν επίσης να διαχειριστούν πιο αποτελεσματικά το «φαινόμενο της διάχυσης» (σε σχέση με μεμονωμένες προστατευόμενες περιοχές). Αποτέλεσμα αυτού είναι οι προστατευόμενες περιοχές να συμβάλλουν στην υγεία των γύρω οικοσυστημάτων μέσω της μετανάστευσης ψαριών και προνυμφών.</w:t>
      </w:r>
    </w:p>
    <w:p w14:paraId="351150D9">
      <w:pPr>
        <w:spacing w:line="259" w:lineRule="auto"/>
        <w:jc w:val="both"/>
        <w:rPr>
          <w:rFonts w:cs="Arial"/>
          <w:sz w:val="22"/>
          <w:szCs w:val="22"/>
        </w:rPr>
      </w:pPr>
      <w:r>
        <w:rPr>
          <w:rFonts w:cs="Arial"/>
          <w:sz w:val="22"/>
          <w:szCs w:val="22"/>
          <w:lang w:val="el-GR"/>
        </w:rPr>
        <w:t>Συγκεκριμένα:</w:t>
      </w:r>
    </w:p>
    <w:p w14:paraId="74575E2F">
      <w:pPr>
        <w:spacing w:line="259" w:lineRule="auto"/>
        <w:jc w:val="both"/>
        <w:rPr>
          <w:rFonts w:cs="Arial"/>
          <w:b/>
          <w:bCs/>
          <w:sz w:val="22"/>
          <w:szCs w:val="22"/>
          <w:u w:val="single"/>
          <w:lang w:val="el-GR"/>
        </w:rPr>
      </w:pPr>
      <w:r>
        <w:rPr>
          <w:rFonts w:cs="Arial"/>
          <w:b/>
          <w:bCs/>
          <w:sz w:val="22"/>
          <w:szCs w:val="22"/>
          <w:u w:val="single"/>
          <w:lang w:val="el-GR"/>
        </w:rPr>
        <w:t>Οικολογικά πλεονεκτήματα</w:t>
      </w:r>
    </w:p>
    <w:p w14:paraId="56C52A9B">
      <w:pPr>
        <w:pStyle w:val="14"/>
        <w:numPr>
          <w:ilvl w:val="0"/>
          <w:numId w:val="1"/>
        </w:numPr>
        <w:tabs>
          <w:tab w:val="left" w:pos="426"/>
          <w:tab w:val="clear" w:pos="720"/>
        </w:tabs>
        <w:spacing w:after="60" w:line="259" w:lineRule="auto"/>
        <w:ind w:left="425" w:hanging="425"/>
        <w:contextualSpacing w:val="0"/>
        <w:jc w:val="both"/>
        <w:rPr>
          <w:rFonts w:cs="Arial"/>
          <w:sz w:val="22"/>
          <w:szCs w:val="22"/>
          <w:u w:val="single"/>
          <w:lang w:val="el-GR"/>
        </w:rPr>
      </w:pPr>
      <w:r>
        <w:rPr>
          <w:rFonts w:cs="Arial"/>
          <w:b/>
          <w:bCs/>
          <w:sz w:val="22"/>
          <w:szCs w:val="22"/>
          <w:lang w:val="el-GR"/>
        </w:rPr>
        <w:t>Συνοχή οικοσυστημάτων:</w:t>
      </w:r>
      <w:r>
        <w:rPr>
          <w:rFonts w:cs="Arial"/>
          <w:sz w:val="22"/>
          <w:szCs w:val="22"/>
          <w:lang w:val="el-GR"/>
        </w:rPr>
        <w:t xml:space="preserve"> Ένα ενιαίο πάρκο διατηρεί την ακεραιότητα ολόκληρων θαλάσσιων οικοσυστημάτων.</w:t>
      </w:r>
    </w:p>
    <w:p w14:paraId="65006E1F">
      <w:pPr>
        <w:pStyle w:val="14"/>
        <w:spacing w:after="200" w:line="259" w:lineRule="auto"/>
        <w:ind w:left="425"/>
        <w:contextualSpacing w:val="0"/>
        <w:jc w:val="both"/>
        <w:rPr>
          <w:rFonts w:cs="Arial"/>
          <w:sz w:val="22"/>
          <w:szCs w:val="22"/>
          <w:u w:val="single"/>
          <w:lang w:val="el-GR"/>
        </w:rPr>
      </w:pPr>
      <w:r>
        <w:rPr>
          <w:rFonts w:cs="Arial"/>
          <w:i/>
          <w:iCs/>
          <w:sz w:val="22"/>
          <w:szCs w:val="22"/>
          <w:lang w:val="el-GR"/>
        </w:rPr>
        <w:t>Παράδειγμα:</w:t>
      </w:r>
      <w:r>
        <w:rPr>
          <w:rFonts w:cs="Arial"/>
          <w:sz w:val="22"/>
          <w:szCs w:val="22"/>
          <w:lang w:val="el-GR"/>
        </w:rPr>
        <w:t xml:space="preserve"> Το Θαλάσσιο Πάρκο Αλοννήσου - Βόρειων Σποράδων (Ελλάδα) προστατεύει τη μεσογειακή φώκια, προσφέροντάς της καταφύγιο.</w:t>
      </w:r>
    </w:p>
    <w:p w14:paraId="5C8D9817">
      <w:pPr>
        <w:numPr>
          <w:ilvl w:val="0"/>
          <w:numId w:val="1"/>
        </w:numPr>
        <w:tabs>
          <w:tab w:val="left" w:pos="426"/>
          <w:tab w:val="clear" w:pos="720"/>
        </w:tabs>
        <w:spacing w:after="60" w:line="259" w:lineRule="auto"/>
        <w:ind w:left="425" w:hanging="425"/>
        <w:jc w:val="both"/>
        <w:rPr>
          <w:rFonts w:cs="Arial"/>
          <w:sz w:val="22"/>
          <w:szCs w:val="22"/>
          <w:lang w:val="el-GR"/>
        </w:rPr>
      </w:pPr>
      <w:r>
        <w:rPr>
          <w:rFonts w:cs="Arial"/>
          <w:b/>
          <w:bCs/>
          <w:sz w:val="22"/>
          <w:szCs w:val="22"/>
          <w:lang w:val="el-GR"/>
        </w:rPr>
        <w:t>Προστασία μεταναστευτικών/κινούμενων ειδών:</w:t>
      </w:r>
      <w:r>
        <w:rPr>
          <w:rFonts w:cs="Arial"/>
          <w:sz w:val="22"/>
          <w:szCs w:val="22"/>
          <w:lang w:val="el-GR"/>
        </w:rPr>
        <w:t xml:space="preserve"> Ενιαία πάρκα διασφαλίζουν την αδιάλειπτη προστασία ειδών που κινούνται σε μεγάλες αποστάσεις. </w:t>
      </w:r>
    </w:p>
    <w:p w14:paraId="3F109BB9">
      <w:pPr>
        <w:spacing w:line="259" w:lineRule="auto"/>
        <w:ind w:left="426"/>
        <w:jc w:val="both"/>
        <w:rPr>
          <w:rFonts w:cs="Arial"/>
          <w:sz w:val="22"/>
          <w:szCs w:val="22"/>
          <w:lang w:val="el-GR"/>
        </w:rPr>
      </w:pPr>
      <w:r>
        <w:rPr>
          <w:rFonts w:cs="Arial"/>
          <w:i/>
          <w:iCs/>
          <w:sz w:val="22"/>
          <w:szCs w:val="22"/>
          <w:lang w:val="el-GR"/>
        </w:rPr>
        <w:t>Παράδειγμα:</w:t>
      </w:r>
      <w:r>
        <w:rPr>
          <w:rFonts w:cs="Arial"/>
          <w:sz w:val="22"/>
          <w:szCs w:val="22"/>
          <w:lang w:val="el-GR"/>
        </w:rPr>
        <w:t xml:space="preserve"> Το </w:t>
      </w:r>
      <w:r>
        <w:rPr>
          <w:rFonts w:cs="Arial"/>
          <w:sz w:val="22"/>
          <w:szCs w:val="22"/>
        </w:rPr>
        <w:t>Pelagos</w:t>
      </w:r>
      <w:r>
        <w:rPr>
          <w:rFonts w:cs="Arial"/>
          <w:sz w:val="22"/>
          <w:szCs w:val="22"/>
          <w:lang w:val="el-GR"/>
        </w:rPr>
        <w:t xml:space="preserve"> </w:t>
      </w:r>
      <w:r>
        <w:rPr>
          <w:rFonts w:cs="Arial"/>
          <w:sz w:val="22"/>
          <w:szCs w:val="22"/>
        </w:rPr>
        <w:t>Sanctuary</w:t>
      </w:r>
      <w:r>
        <w:rPr>
          <w:rFonts w:cs="Arial"/>
          <w:sz w:val="22"/>
          <w:szCs w:val="22"/>
          <w:lang w:val="el-GR"/>
        </w:rPr>
        <w:t xml:space="preserve"> στη Μεσόγειο προστατεύει δελφίνια και φάλαινες σε                   87.500 </w:t>
      </w:r>
      <w:r>
        <w:rPr>
          <w:rFonts w:cs="Arial"/>
          <w:sz w:val="22"/>
          <w:szCs w:val="22"/>
        </w:rPr>
        <w:t>km</w:t>
      </w:r>
      <w:r>
        <w:rPr>
          <w:rFonts w:cs="Arial"/>
          <w:sz w:val="22"/>
          <w:szCs w:val="22"/>
          <w:lang w:val="el-GR"/>
        </w:rPr>
        <w:t>².</w:t>
      </w:r>
    </w:p>
    <w:p w14:paraId="7B32DB39">
      <w:pPr>
        <w:numPr>
          <w:ilvl w:val="0"/>
          <w:numId w:val="1"/>
        </w:numPr>
        <w:tabs>
          <w:tab w:val="left" w:pos="284"/>
          <w:tab w:val="clear" w:pos="720"/>
        </w:tabs>
        <w:spacing w:after="60" w:line="259" w:lineRule="auto"/>
        <w:ind w:left="284" w:hanging="284"/>
        <w:jc w:val="both"/>
        <w:rPr>
          <w:rFonts w:cs="Arial"/>
          <w:sz w:val="22"/>
          <w:szCs w:val="22"/>
          <w:lang w:val="el-GR"/>
        </w:rPr>
      </w:pPr>
      <w:r>
        <w:rPr>
          <w:rFonts w:cs="Arial"/>
          <w:b/>
          <w:bCs/>
          <w:sz w:val="22"/>
          <w:szCs w:val="22"/>
          <w:lang w:val="el-GR"/>
        </w:rPr>
        <w:t>Ανθεκτικότητα οικοσυστημάτων:</w:t>
      </w:r>
      <w:r>
        <w:rPr>
          <w:rFonts w:cs="Arial"/>
          <w:sz w:val="22"/>
          <w:szCs w:val="22"/>
          <w:lang w:val="el-GR"/>
        </w:rPr>
        <w:t xml:space="preserve"> Με την προστασία μεγαλύτερης ποικιλίας ενδιαιτημάτων, τα ενιαία θαλάσσια πάρκα χτίζουν ανθεκτικότερα οικοσυστήματα, ικανά να ανταπεξέλθουν στις περιβαλλοντικές αλλαγές, όπως η κλιματική αλλαγή και η ρύπανση.</w:t>
      </w:r>
    </w:p>
    <w:p w14:paraId="691123CC">
      <w:pPr>
        <w:tabs>
          <w:tab w:val="left" w:pos="284"/>
        </w:tabs>
        <w:spacing w:line="259" w:lineRule="auto"/>
        <w:ind w:left="284" w:hanging="284"/>
        <w:jc w:val="both"/>
        <w:rPr>
          <w:rFonts w:cs="Arial"/>
          <w:sz w:val="22"/>
          <w:szCs w:val="22"/>
          <w:lang w:val="el-GR"/>
        </w:rPr>
      </w:pPr>
      <w:r>
        <w:rPr>
          <w:rFonts w:cs="Arial"/>
          <w:i/>
          <w:iCs/>
          <w:sz w:val="22"/>
          <w:szCs w:val="22"/>
          <w:lang w:val="el-GR"/>
        </w:rPr>
        <w:tab/>
      </w:r>
      <w:r>
        <w:rPr>
          <w:rFonts w:cs="Arial"/>
          <w:i/>
          <w:iCs/>
          <w:sz w:val="22"/>
          <w:szCs w:val="22"/>
          <w:lang w:val="el-GR"/>
        </w:rPr>
        <w:t>Παράδειγμα:</w:t>
      </w:r>
      <w:r>
        <w:rPr>
          <w:rFonts w:cs="Arial"/>
          <w:sz w:val="22"/>
          <w:szCs w:val="22"/>
          <w:lang w:val="el-GR"/>
        </w:rPr>
        <w:t xml:space="preserve"> Το </w:t>
      </w:r>
      <w:r>
        <w:rPr>
          <w:rFonts w:cs="Arial"/>
          <w:sz w:val="22"/>
          <w:szCs w:val="22"/>
        </w:rPr>
        <w:t>Great</w:t>
      </w:r>
      <w:r>
        <w:rPr>
          <w:rFonts w:cs="Arial"/>
          <w:sz w:val="22"/>
          <w:szCs w:val="22"/>
          <w:lang w:val="el-GR"/>
        </w:rPr>
        <w:t xml:space="preserve"> </w:t>
      </w:r>
      <w:r>
        <w:rPr>
          <w:rFonts w:cs="Arial"/>
          <w:sz w:val="22"/>
          <w:szCs w:val="22"/>
        </w:rPr>
        <w:t>Barrier</w:t>
      </w:r>
      <w:r>
        <w:rPr>
          <w:rFonts w:cs="Arial"/>
          <w:sz w:val="22"/>
          <w:szCs w:val="22"/>
          <w:lang w:val="el-GR"/>
        </w:rPr>
        <w:t xml:space="preserve"> </w:t>
      </w:r>
      <w:r>
        <w:rPr>
          <w:rFonts w:cs="Arial"/>
          <w:sz w:val="22"/>
          <w:szCs w:val="22"/>
        </w:rPr>
        <w:t>Reef</w:t>
      </w:r>
      <w:r>
        <w:rPr>
          <w:rFonts w:cs="Arial"/>
          <w:sz w:val="22"/>
          <w:szCs w:val="22"/>
          <w:lang w:val="el-GR"/>
        </w:rPr>
        <w:t xml:space="preserve"> </w:t>
      </w:r>
      <w:r>
        <w:rPr>
          <w:rFonts w:cs="Arial"/>
          <w:sz w:val="22"/>
          <w:szCs w:val="22"/>
        </w:rPr>
        <w:t>Marine</w:t>
      </w:r>
      <w:r>
        <w:rPr>
          <w:rFonts w:cs="Arial"/>
          <w:sz w:val="22"/>
          <w:szCs w:val="22"/>
          <w:lang w:val="el-GR"/>
        </w:rPr>
        <w:t xml:space="preserve"> </w:t>
      </w:r>
      <w:r>
        <w:rPr>
          <w:rFonts w:cs="Arial"/>
          <w:sz w:val="22"/>
          <w:szCs w:val="22"/>
        </w:rPr>
        <w:t>Park</w:t>
      </w:r>
      <w:r>
        <w:rPr>
          <w:rFonts w:cs="Arial"/>
          <w:sz w:val="22"/>
          <w:szCs w:val="22"/>
          <w:lang w:val="el-GR"/>
        </w:rPr>
        <w:t xml:space="preserve"> (Αυστραλία) λειτουργεί ως παγκόσμιο παράδειγμα ανθεκτικότητας.</w:t>
      </w:r>
    </w:p>
    <w:p w14:paraId="51974052">
      <w:pPr>
        <w:numPr>
          <w:ilvl w:val="0"/>
          <w:numId w:val="1"/>
        </w:numPr>
        <w:shd w:val="clear" w:color="auto" w:fill="FFFFFF"/>
        <w:tabs>
          <w:tab w:val="left" w:pos="0"/>
          <w:tab w:val="left" w:pos="284"/>
          <w:tab w:val="clear" w:pos="720"/>
        </w:tabs>
        <w:spacing w:line="259" w:lineRule="auto"/>
        <w:ind w:left="284" w:hanging="284"/>
        <w:jc w:val="both"/>
        <w:rPr>
          <w:rFonts w:cs="Arial"/>
          <w:color w:val="1D2228"/>
          <w:sz w:val="22"/>
          <w:szCs w:val="22"/>
          <w:lang w:val="el-GR"/>
        </w:rPr>
      </w:pPr>
      <w:r>
        <w:rPr>
          <w:rFonts w:cs="Arial"/>
          <w:b/>
          <w:bCs/>
          <w:sz w:val="22"/>
          <w:szCs w:val="22"/>
          <w:lang w:val="el-GR"/>
        </w:rPr>
        <w:t xml:space="preserve">Διατήρηση της θαλάσσιας βιοποικιλότητας: </w:t>
      </w:r>
      <w:r>
        <w:rPr>
          <w:rFonts w:cs="Arial"/>
          <w:sz w:val="22"/>
          <w:szCs w:val="22"/>
          <w:lang w:val="el-GR"/>
        </w:rPr>
        <w:t>Η προστασία μεγαλύτερης ποικιλίας ειδών και ενδιαιτημάτων ενισχύει τη συνολική βιοποικιλότητα των θαλάσσιων οικοσυστημάτων.</w:t>
      </w:r>
    </w:p>
    <w:p w14:paraId="328B6341">
      <w:pPr>
        <w:numPr>
          <w:ilvl w:val="0"/>
          <w:numId w:val="1"/>
        </w:numPr>
        <w:shd w:val="clear" w:color="auto" w:fill="FFFFFF"/>
        <w:tabs>
          <w:tab w:val="left" w:pos="0"/>
          <w:tab w:val="left" w:pos="284"/>
          <w:tab w:val="clear" w:pos="720"/>
        </w:tabs>
        <w:spacing w:after="60" w:line="259" w:lineRule="auto"/>
        <w:ind w:left="284" w:hanging="284"/>
        <w:jc w:val="both"/>
        <w:rPr>
          <w:rFonts w:cs="Arial"/>
          <w:color w:val="1D2228"/>
          <w:sz w:val="22"/>
          <w:szCs w:val="22"/>
          <w:lang w:val="el-GR"/>
        </w:rPr>
      </w:pPr>
      <w:r>
        <w:rPr>
          <w:rFonts w:cs="Arial"/>
          <w:b/>
          <w:bCs/>
          <w:color w:val="1D2228"/>
          <w:sz w:val="22"/>
          <w:szCs w:val="22"/>
          <w:lang w:val="el-GR"/>
        </w:rPr>
        <w:t>Βελτιωμένη Διαχείριση Αλιείας:</w:t>
      </w:r>
      <w:r>
        <w:rPr>
          <w:rFonts w:cs="Arial"/>
          <w:color w:val="1D2228"/>
          <w:sz w:val="22"/>
          <w:szCs w:val="22"/>
          <w:lang w:val="el-GR"/>
        </w:rPr>
        <w:t xml:space="preserve"> </w:t>
      </w:r>
      <w:r>
        <w:rPr>
          <w:rFonts w:cs="Arial"/>
          <w:sz w:val="22"/>
          <w:szCs w:val="22"/>
          <w:lang w:val="el-GR"/>
        </w:rPr>
        <w:t>Τα πάρκα λειτουργούν ως περιοχές αναπαραγωγής και νηπιακά πεδία «</w:t>
      </w:r>
      <w:r>
        <w:rPr>
          <w:rFonts w:cs="Arial"/>
          <w:sz w:val="22"/>
          <w:szCs w:val="22"/>
        </w:rPr>
        <w:t>nurseries</w:t>
      </w:r>
      <w:r>
        <w:rPr>
          <w:rFonts w:cs="Arial"/>
          <w:sz w:val="22"/>
          <w:szCs w:val="22"/>
          <w:lang w:val="el-GR"/>
        </w:rPr>
        <w:t>», με αποτέλεσμα την αύξηση της βιομάζας των ιχθυαποθεμάτων που «εξαπλώνονται»  σε γειτονικές περιοχές.</w:t>
      </w:r>
      <w:r>
        <w:rPr>
          <w:rFonts w:cs="Arial"/>
          <w:color w:val="1D2228"/>
          <w:sz w:val="22"/>
          <w:szCs w:val="22"/>
          <w:lang w:val="el-GR"/>
        </w:rPr>
        <w:t xml:space="preserve"> Τα θαλάσσια πάρκα μπορούν να βοηθήσουν στην αναπλήρωση των ιχθυαποθεμάτων στις γύρω περιοχές μέσω του φαινομένου της διάχυσης, συμβάλλοντας σε πιο βιώσιμες αλιευτικές πρακτικές.</w:t>
      </w:r>
    </w:p>
    <w:p w14:paraId="286B89CF">
      <w:pPr>
        <w:tabs>
          <w:tab w:val="left" w:pos="284"/>
        </w:tabs>
        <w:spacing w:line="259" w:lineRule="auto"/>
        <w:ind w:left="284" w:hanging="284"/>
        <w:jc w:val="both"/>
        <w:rPr>
          <w:rFonts w:cs="Arial"/>
          <w:sz w:val="22"/>
          <w:szCs w:val="22"/>
          <w:lang w:val="el-GR"/>
        </w:rPr>
      </w:pPr>
      <w:r>
        <w:rPr>
          <w:rFonts w:cs="Arial"/>
          <w:i/>
          <w:iCs/>
          <w:sz w:val="22"/>
          <w:szCs w:val="22"/>
          <w:lang w:val="el-GR"/>
        </w:rPr>
        <w:tab/>
      </w:r>
      <w:r>
        <w:rPr>
          <w:rFonts w:cs="Arial"/>
          <w:i/>
          <w:iCs/>
          <w:sz w:val="22"/>
          <w:szCs w:val="22"/>
          <w:lang w:val="el-GR"/>
        </w:rPr>
        <w:t>Παράδειγμα:</w:t>
      </w:r>
      <w:r>
        <w:rPr>
          <w:rFonts w:cs="Arial"/>
          <w:sz w:val="22"/>
          <w:szCs w:val="22"/>
          <w:lang w:val="el-GR"/>
        </w:rPr>
        <w:t xml:space="preserve"> Έχει καταγραφεί στο </w:t>
      </w:r>
      <w:r>
        <w:rPr>
          <w:rFonts w:cs="Arial"/>
          <w:sz w:val="22"/>
          <w:szCs w:val="22"/>
        </w:rPr>
        <w:t>Gal</w:t>
      </w:r>
      <w:r>
        <w:rPr>
          <w:rFonts w:cs="Arial"/>
          <w:sz w:val="22"/>
          <w:szCs w:val="22"/>
          <w:lang w:val="el-GR"/>
        </w:rPr>
        <w:t>á</w:t>
      </w:r>
      <w:r>
        <w:rPr>
          <w:rFonts w:cs="Arial"/>
          <w:sz w:val="22"/>
          <w:szCs w:val="22"/>
        </w:rPr>
        <w:t>pagos</w:t>
      </w:r>
      <w:r>
        <w:rPr>
          <w:rFonts w:cs="Arial"/>
          <w:sz w:val="22"/>
          <w:szCs w:val="22"/>
          <w:lang w:val="el-GR"/>
        </w:rPr>
        <w:t xml:space="preserve"> </w:t>
      </w:r>
      <w:r>
        <w:rPr>
          <w:rFonts w:cs="Arial"/>
          <w:sz w:val="22"/>
          <w:szCs w:val="22"/>
        </w:rPr>
        <w:t>Marine</w:t>
      </w:r>
      <w:r>
        <w:rPr>
          <w:rFonts w:cs="Arial"/>
          <w:sz w:val="22"/>
          <w:szCs w:val="22"/>
          <w:lang w:val="el-GR"/>
        </w:rPr>
        <w:t xml:space="preserve"> </w:t>
      </w:r>
      <w:r>
        <w:rPr>
          <w:rFonts w:cs="Arial"/>
          <w:sz w:val="22"/>
          <w:szCs w:val="22"/>
        </w:rPr>
        <w:t>Reserve</w:t>
      </w:r>
      <w:r>
        <w:rPr>
          <w:rFonts w:cs="Arial"/>
          <w:sz w:val="22"/>
          <w:szCs w:val="22"/>
          <w:lang w:val="el-GR"/>
        </w:rPr>
        <w:t xml:space="preserve"> και σε περιοχές της Μεσογείου.</w:t>
      </w:r>
    </w:p>
    <w:p w14:paraId="409291D5">
      <w:pPr>
        <w:pStyle w:val="25"/>
        <w:numPr>
          <w:ilvl w:val="0"/>
          <w:numId w:val="1"/>
        </w:numPr>
        <w:shd w:val="clear" w:color="auto" w:fill="FFFFFF"/>
        <w:tabs>
          <w:tab w:val="left" w:pos="0"/>
          <w:tab w:val="left" w:pos="284"/>
          <w:tab w:val="clear" w:pos="720"/>
        </w:tabs>
        <w:spacing w:before="0" w:beforeAutospacing="0" w:after="0" w:afterAutospacing="0" w:line="259" w:lineRule="auto"/>
        <w:ind w:left="284" w:hanging="284"/>
        <w:jc w:val="both"/>
        <w:rPr>
          <w:rFonts w:ascii="Aptos" w:hAnsi="Aptos" w:cs="Arial"/>
          <w:color w:val="1D2228"/>
          <w:sz w:val="22"/>
          <w:szCs w:val="22"/>
        </w:rPr>
      </w:pPr>
      <w:r>
        <w:rPr>
          <w:rFonts w:ascii="Aptos" w:hAnsi="Aptos" w:cs="Arial"/>
          <w:b/>
          <w:bCs/>
          <w:color w:val="1D2228"/>
          <w:sz w:val="22"/>
          <w:szCs w:val="22"/>
        </w:rPr>
        <w:t>Αποκατάσταση Οικοσυστημάτων:</w:t>
      </w:r>
      <w:r>
        <w:rPr>
          <w:rFonts w:ascii="Aptos" w:hAnsi="Aptos" w:cs="Arial"/>
          <w:color w:val="1D2228"/>
          <w:sz w:val="22"/>
          <w:szCs w:val="22"/>
        </w:rPr>
        <w:t xml:space="preserve"> Τα θαλάσσια πάρκα μπορούν να διαδραματίσουν κρίσιμο ρόλο στην αποκατάσταση υποβαθμισμένων θαλάσσιων οικοσυστημάτων, παρέχοντας καταφύγιο σε είδη και προωθώντας την αποκατάσταση των φυσικών οικοτόπων.</w:t>
      </w:r>
    </w:p>
    <w:p w14:paraId="51F164BB">
      <w:pPr>
        <w:spacing w:line="259" w:lineRule="auto"/>
        <w:jc w:val="both"/>
        <w:rPr>
          <w:rFonts w:cs="Arial"/>
          <w:b/>
          <w:bCs/>
          <w:sz w:val="22"/>
          <w:szCs w:val="22"/>
          <w:u w:val="single"/>
          <w:lang w:val="el-GR"/>
        </w:rPr>
      </w:pPr>
    </w:p>
    <w:p w14:paraId="34B2374C">
      <w:pPr>
        <w:spacing w:line="259" w:lineRule="auto"/>
        <w:jc w:val="both"/>
        <w:rPr>
          <w:rFonts w:cs="Arial"/>
          <w:b/>
          <w:bCs/>
          <w:sz w:val="22"/>
          <w:szCs w:val="22"/>
          <w:u w:val="single"/>
        </w:rPr>
      </w:pPr>
      <w:r>
        <w:rPr>
          <w:rFonts w:cs="Arial"/>
          <w:b/>
          <w:bCs/>
          <w:sz w:val="22"/>
          <w:szCs w:val="22"/>
          <w:u w:val="single"/>
        </w:rPr>
        <w:t>Διοικητικά &amp; Διαχειριστικά Πλεονεκτήματα</w:t>
      </w:r>
    </w:p>
    <w:p w14:paraId="34001E86">
      <w:pPr>
        <w:numPr>
          <w:ilvl w:val="0"/>
          <w:numId w:val="2"/>
        </w:numPr>
        <w:tabs>
          <w:tab w:val="left" w:pos="284"/>
          <w:tab w:val="clear" w:pos="720"/>
        </w:tabs>
        <w:spacing w:after="60" w:line="259" w:lineRule="auto"/>
        <w:ind w:left="284" w:hanging="284"/>
        <w:jc w:val="both"/>
        <w:rPr>
          <w:rFonts w:cs="Arial"/>
          <w:sz w:val="22"/>
          <w:szCs w:val="22"/>
          <w:lang w:val="el-GR"/>
        </w:rPr>
      </w:pPr>
      <w:r>
        <w:rPr>
          <w:rFonts w:cs="Arial"/>
          <w:b/>
          <w:bCs/>
          <w:sz w:val="22"/>
          <w:szCs w:val="22"/>
          <w:lang w:val="el-GR"/>
        </w:rPr>
        <w:t xml:space="preserve">Ολοκληρωμένη διαχείριση: </w:t>
      </w:r>
      <w:r>
        <w:rPr>
          <w:rFonts w:cs="Arial"/>
          <w:sz w:val="22"/>
          <w:szCs w:val="22"/>
          <w:lang w:val="el-GR"/>
        </w:rPr>
        <w:t>Ενιαία σχέδια δράσης και συντονισμός όλων των εμπλεκόμενων φορέων.</w:t>
      </w:r>
    </w:p>
    <w:p w14:paraId="039FD233">
      <w:pPr>
        <w:spacing w:line="259" w:lineRule="auto"/>
        <w:ind w:left="284"/>
        <w:jc w:val="both"/>
        <w:rPr>
          <w:rFonts w:cs="Arial"/>
          <w:sz w:val="22"/>
          <w:szCs w:val="22"/>
          <w:lang w:val="el-GR"/>
        </w:rPr>
      </w:pPr>
      <w:r>
        <w:rPr>
          <w:rFonts w:cs="Arial"/>
          <w:i/>
          <w:iCs/>
          <w:sz w:val="22"/>
          <w:szCs w:val="22"/>
          <w:lang w:val="el-GR"/>
        </w:rPr>
        <w:t>Παράδειγμα:</w:t>
      </w:r>
      <w:r>
        <w:rPr>
          <w:rFonts w:cs="Arial"/>
          <w:sz w:val="22"/>
          <w:szCs w:val="22"/>
          <w:lang w:val="el-GR"/>
        </w:rPr>
        <w:t xml:space="preserve"> Το Θαλάσσιο Πάρκο Ζακύνθου λειτουργεί εφαρμόζοντας αρχές ολοκληρωμένης διαχείρισης με ενιαίο φορέα διαχείρισης (τώρα μονάδα του ΟΦΥΠΕΚΑ) για την </w:t>
      </w:r>
      <w:r>
        <w:rPr>
          <w:rFonts w:cs="Arial"/>
          <w:i/>
          <w:iCs/>
          <w:sz w:val="22"/>
          <w:szCs w:val="22"/>
        </w:rPr>
        <w:t>Caretta</w:t>
      </w:r>
      <w:r>
        <w:rPr>
          <w:rFonts w:cs="Arial"/>
          <w:i/>
          <w:iCs/>
          <w:sz w:val="22"/>
          <w:szCs w:val="22"/>
          <w:lang w:val="el-GR"/>
        </w:rPr>
        <w:t xml:space="preserve"> </w:t>
      </w:r>
      <w:r>
        <w:rPr>
          <w:rFonts w:cs="Arial"/>
          <w:i/>
          <w:iCs/>
          <w:sz w:val="22"/>
          <w:szCs w:val="22"/>
        </w:rPr>
        <w:t>caretta</w:t>
      </w:r>
      <w:r>
        <w:rPr>
          <w:rFonts w:cs="Arial"/>
          <w:sz w:val="22"/>
          <w:szCs w:val="22"/>
          <w:lang w:val="el-GR"/>
        </w:rPr>
        <w:t>.</w:t>
      </w:r>
    </w:p>
    <w:p w14:paraId="254FA800">
      <w:pPr>
        <w:numPr>
          <w:ilvl w:val="0"/>
          <w:numId w:val="2"/>
        </w:numPr>
        <w:tabs>
          <w:tab w:val="left" w:pos="284"/>
          <w:tab w:val="clear" w:pos="720"/>
        </w:tabs>
        <w:spacing w:after="60" w:line="259" w:lineRule="auto"/>
        <w:ind w:left="284" w:hanging="284"/>
        <w:jc w:val="both"/>
        <w:rPr>
          <w:rFonts w:cs="Arial"/>
          <w:sz w:val="22"/>
          <w:szCs w:val="22"/>
          <w:lang w:val="el-GR"/>
        </w:rPr>
      </w:pPr>
      <w:r>
        <w:rPr>
          <w:rFonts w:cs="Arial"/>
          <w:b/>
          <w:bCs/>
          <w:sz w:val="22"/>
          <w:szCs w:val="22"/>
          <w:lang w:val="el-GR"/>
        </w:rPr>
        <w:t xml:space="preserve">Μειωμένο διοικητικό κόστος: </w:t>
      </w:r>
      <w:r>
        <w:rPr>
          <w:rFonts w:cs="Arial"/>
          <w:sz w:val="22"/>
          <w:szCs w:val="22"/>
          <w:lang w:val="el-GR"/>
        </w:rPr>
        <w:t>Περιορίζεται η πολυδιάσπαση της διοίκησης της διαχείρισης και εξοικονομούνται πόροι.</w:t>
      </w:r>
    </w:p>
    <w:p w14:paraId="7BECC7B0">
      <w:pPr>
        <w:tabs>
          <w:tab w:val="left" w:pos="284"/>
        </w:tabs>
        <w:spacing w:line="259" w:lineRule="auto"/>
        <w:ind w:left="284" w:hanging="284"/>
        <w:jc w:val="both"/>
        <w:rPr>
          <w:rFonts w:cs="Arial"/>
          <w:sz w:val="22"/>
          <w:szCs w:val="22"/>
          <w:lang w:val="el-GR"/>
        </w:rPr>
      </w:pPr>
      <w:r>
        <w:rPr>
          <w:rFonts w:cs="Arial"/>
          <w:i/>
          <w:iCs/>
          <w:sz w:val="22"/>
          <w:szCs w:val="22"/>
          <w:lang w:val="el-GR"/>
        </w:rPr>
        <w:tab/>
      </w:r>
      <w:r>
        <w:rPr>
          <w:rFonts w:cs="Arial"/>
          <w:i/>
          <w:iCs/>
          <w:sz w:val="22"/>
          <w:szCs w:val="22"/>
          <w:lang w:val="el-GR"/>
        </w:rPr>
        <w:t>Παράδειγμα:</w:t>
      </w:r>
      <w:r>
        <w:rPr>
          <w:rFonts w:cs="Arial"/>
          <w:sz w:val="22"/>
          <w:szCs w:val="22"/>
          <w:lang w:val="el-GR"/>
        </w:rPr>
        <w:t xml:space="preserve"> Το δίκτυο </w:t>
      </w:r>
      <w:r>
        <w:rPr>
          <w:rFonts w:cs="Arial"/>
          <w:sz w:val="22"/>
          <w:szCs w:val="22"/>
        </w:rPr>
        <w:t>Natura</w:t>
      </w:r>
      <w:r>
        <w:rPr>
          <w:rFonts w:cs="Arial"/>
          <w:sz w:val="22"/>
          <w:szCs w:val="22"/>
          <w:lang w:val="el-GR"/>
        </w:rPr>
        <w:t xml:space="preserve"> 2000 της Ε.Ε. ενοποιεί περιοχές κάτω από κοινό πλαίσιο.</w:t>
      </w:r>
    </w:p>
    <w:p w14:paraId="45B593E9">
      <w:pPr>
        <w:numPr>
          <w:ilvl w:val="0"/>
          <w:numId w:val="2"/>
        </w:numPr>
        <w:tabs>
          <w:tab w:val="left" w:pos="284"/>
          <w:tab w:val="clear" w:pos="720"/>
        </w:tabs>
        <w:spacing w:after="60" w:line="259" w:lineRule="auto"/>
        <w:ind w:left="284" w:hanging="284"/>
        <w:jc w:val="both"/>
        <w:rPr>
          <w:rFonts w:cs="Arial"/>
          <w:sz w:val="22"/>
          <w:szCs w:val="22"/>
          <w:lang w:val="el-GR"/>
        </w:rPr>
      </w:pPr>
      <w:r>
        <w:rPr>
          <w:rFonts w:cs="Arial"/>
          <w:b/>
          <w:bCs/>
          <w:sz w:val="22"/>
          <w:szCs w:val="22"/>
          <w:lang w:val="el-GR"/>
        </w:rPr>
        <w:t xml:space="preserve">Επιστημονική έρευνα και παρακολούθηση: </w:t>
      </w:r>
      <w:r>
        <w:rPr>
          <w:rFonts w:cs="Arial"/>
          <w:sz w:val="22"/>
          <w:szCs w:val="22"/>
          <w:lang w:val="el-GR"/>
        </w:rPr>
        <w:t>Η μεγαλύτερη κλίμακα των ενιαίων θαλάσσιων πάρκων επιτρέπει πιο ολοκληρωμένες επιστημονικές μελέτες και συστηματική παρακολούθηση της βιοποικιλότητας και των επιπτώσεων των απειλών στα είδη και τους οικοτόπους, όπως η κλιματική αλλαγή και της η αλιεία.</w:t>
      </w:r>
    </w:p>
    <w:p w14:paraId="61F83DEA">
      <w:pPr>
        <w:tabs>
          <w:tab w:val="left" w:pos="284"/>
        </w:tabs>
        <w:spacing w:after="0" w:line="259" w:lineRule="auto"/>
        <w:ind w:left="284" w:hanging="284"/>
        <w:jc w:val="both"/>
        <w:rPr>
          <w:rFonts w:cs="Arial"/>
          <w:sz w:val="22"/>
          <w:szCs w:val="22"/>
          <w:lang w:val="el-GR"/>
        </w:rPr>
      </w:pPr>
      <w:r>
        <w:rPr>
          <w:rFonts w:cs="Arial"/>
          <w:i/>
          <w:iCs/>
          <w:sz w:val="22"/>
          <w:szCs w:val="22"/>
          <w:lang w:val="el-GR"/>
        </w:rPr>
        <w:tab/>
      </w:r>
      <w:r>
        <w:rPr>
          <w:rFonts w:cs="Arial"/>
          <w:i/>
          <w:iCs/>
          <w:sz w:val="22"/>
          <w:szCs w:val="22"/>
          <w:lang w:val="el-GR"/>
        </w:rPr>
        <w:t>Παράδειγμα:</w:t>
      </w:r>
      <w:r>
        <w:rPr>
          <w:rFonts w:cs="Arial"/>
          <w:sz w:val="22"/>
          <w:szCs w:val="22"/>
          <w:lang w:val="el-GR"/>
        </w:rPr>
        <w:t xml:space="preserve"> Στο </w:t>
      </w:r>
      <w:r>
        <w:rPr>
          <w:rFonts w:cs="Arial"/>
          <w:sz w:val="22"/>
          <w:szCs w:val="22"/>
        </w:rPr>
        <w:t>Papah</w:t>
      </w:r>
      <w:r>
        <w:rPr>
          <w:rFonts w:cs="Arial"/>
          <w:sz w:val="22"/>
          <w:szCs w:val="22"/>
          <w:lang w:val="el-GR"/>
        </w:rPr>
        <w:t>ā</w:t>
      </w:r>
      <w:r>
        <w:rPr>
          <w:rFonts w:cs="Arial"/>
          <w:sz w:val="22"/>
          <w:szCs w:val="22"/>
        </w:rPr>
        <w:t>naumoku</w:t>
      </w:r>
      <w:r>
        <w:rPr>
          <w:rFonts w:cs="Arial"/>
          <w:sz w:val="22"/>
          <w:szCs w:val="22"/>
          <w:lang w:val="el-GR"/>
        </w:rPr>
        <w:t>ā</w:t>
      </w:r>
      <w:r>
        <w:rPr>
          <w:rFonts w:cs="Arial"/>
          <w:sz w:val="22"/>
          <w:szCs w:val="22"/>
        </w:rPr>
        <w:t>kea</w:t>
      </w:r>
      <w:r>
        <w:rPr>
          <w:rFonts w:cs="Arial"/>
          <w:sz w:val="22"/>
          <w:szCs w:val="22"/>
          <w:lang w:val="el-GR"/>
        </w:rPr>
        <w:t xml:space="preserve"> (ΗΠΑ), η έρευνα αποτελεί βασικό πυλώνα διαχείρισης.</w:t>
      </w:r>
    </w:p>
    <w:p w14:paraId="0B6C25E8">
      <w:pPr>
        <w:spacing w:line="259" w:lineRule="auto"/>
        <w:jc w:val="both"/>
        <w:rPr>
          <w:rFonts w:cs="Arial"/>
          <w:b/>
          <w:bCs/>
          <w:sz w:val="22"/>
          <w:szCs w:val="22"/>
          <w:u w:val="single"/>
          <w:lang w:val="el-GR"/>
        </w:rPr>
      </w:pPr>
    </w:p>
    <w:p w14:paraId="4EF6FE56">
      <w:pPr>
        <w:spacing w:line="259" w:lineRule="auto"/>
        <w:jc w:val="both"/>
        <w:rPr>
          <w:rFonts w:cs="Arial"/>
          <w:b/>
          <w:bCs/>
          <w:sz w:val="22"/>
          <w:szCs w:val="22"/>
          <w:u w:val="single"/>
        </w:rPr>
      </w:pPr>
      <w:r>
        <w:rPr>
          <w:rFonts w:cs="Arial"/>
          <w:b/>
          <w:bCs/>
          <w:sz w:val="22"/>
          <w:szCs w:val="22"/>
          <w:u w:val="single"/>
        </w:rPr>
        <w:t>Κοινωνικοοικονομικά Πλεονεκτήματα</w:t>
      </w:r>
    </w:p>
    <w:p w14:paraId="748806E6">
      <w:pPr>
        <w:numPr>
          <w:ilvl w:val="0"/>
          <w:numId w:val="3"/>
        </w:numPr>
        <w:tabs>
          <w:tab w:val="clear" w:pos="720"/>
        </w:tabs>
        <w:spacing w:after="60" w:line="259" w:lineRule="auto"/>
        <w:ind w:left="284" w:hanging="284"/>
        <w:jc w:val="both"/>
        <w:rPr>
          <w:rFonts w:cs="Arial"/>
          <w:sz w:val="22"/>
          <w:szCs w:val="22"/>
          <w:lang w:val="el-GR"/>
        </w:rPr>
      </w:pPr>
      <w:r>
        <w:rPr>
          <w:rFonts w:cs="Arial"/>
          <w:b/>
          <w:bCs/>
          <w:sz w:val="22"/>
          <w:szCs w:val="22"/>
          <w:lang w:val="el-GR"/>
        </w:rPr>
        <w:t xml:space="preserve">Οικοτουρισμός: </w:t>
      </w:r>
      <w:r>
        <w:rPr>
          <w:rFonts w:cs="Arial"/>
          <w:sz w:val="22"/>
          <w:szCs w:val="22"/>
          <w:lang w:val="el-GR"/>
        </w:rPr>
        <w:t>Τα μεγάλα πάρκα προσελκύουν επισκέπτες και ενισχύουν το βιώσιμο τουριστικό προϊόν.</w:t>
      </w:r>
      <w:r>
        <w:rPr>
          <w:rFonts w:cs="Arial"/>
          <w:color w:val="1D2228"/>
          <w:sz w:val="22"/>
          <w:szCs w:val="22"/>
          <w:lang w:val="el-GR"/>
        </w:rPr>
        <w:t xml:space="preserve"> Δίνουν ταυτότητα στον χώρο (αφορά πιο πολύ τους μόνιμους κατοίκους) και μεγαλύτερη αναγνωρισιμότητα (αφορά πιο πολύ τους επισκέπτες).</w:t>
      </w:r>
    </w:p>
    <w:p w14:paraId="217DA7B5">
      <w:pPr>
        <w:spacing w:line="259" w:lineRule="auto"/>
        <w:ind w:left="284" w:hanging="284"/>
        <w:jc w:val="both"/>
        <w:rPr>
          <w:rFonts w:cs="Arial"/>
          <w:sz w:val="22"/>
          <w:szCs w:val="22"/>
          <w:lang w:val="el-GR"/>
        </w:rPr>
      </w:pPr>
      <w:r>
        <w:rPr>
          <w:rFonts w:cs="Arial"/>
          <w:i/>
          <w:iCs/>
          <w:sz w:val="22"/>
          <w:szCs w:val="22"/>
          <w:lang w:val="el-GR"/>
        </w:rPr>
        <w:tab/>
      </w:r>
      <w:r>
        <w:rPr>
          <w:rFonts w:cs="Arial"/>
          <w:i/>
          <w:iCs/>
          <w:sz w:val="22"/>
          <w:szCs w:val="22"/>
          <w:lang w:val="el-GR"/>
        </w:rPr>
        <w:t>Παράδειγμα:</w:t>
      </w:r>
      <w:r>
        <w:rPr>
          <w:rFonts w:cs="Arial"/>
          <w:sz w:val="22"/>
          <w:szCs w:val="22"/>
          <w:lang w:val="el-GR"/>
        </w:rPr>
        <w:t xml:space="preserve"> Το </w:t>
      </w:r>
      <w:r>
        <w:rPr>
          <w:rFonts w:cs="Arial"/>
          <w:sz w:val="22"/>
          <w:szCs w:val="22"/>
        </w:rPr>
        <w:t>Parc</w:t>
      </w:r>
      <w:r>
        <w:rPr>
          <w:rFonts w:cs="Arial"/>
          <w:sz w:val="22"/>
          <w:szCs w:val="22"/>
          <w:lang w:val="el-GR"/>
        </w:rPr>
        <w:t xml:space="preserve"> </w:t>
      </w:r>
      <w:r>
        <w:rPr>
          <w:rFonts w:cs="Arial"/>
          <w:sz w:val="22"/>
          <w:szCs w:val="22"/>
        </w:rPr>
        <w:t>National</w:t>
      </w:r>
      <w:r>
        <w:rPr>
          <w:rFonts w:cs="Arial"/>
          <w:sz w:val="22"/>
          <w:szCs w:val="22"/>
          <w:lang w:val="el-GR"/>
        </w:rPr>
        <w:t xml:space="preserve"> </w:t>
      </w:r>
      <w:r>
        <w:rPr>
          <w:rFonts w:cs="Arial"/>
          <w:sz w:val="22"/>
          <w:szCs w:val="22"/>
        </w:rPr>
        <w:t>de</w:t>
      </w:r>
      <w:r>
        <w:rPr>
          <w:rFonts w:cs="Arial"/>
          <w:sz w:val="22"/>
          <w:szCs w:val="22"/>
          <w:lang w:val="el-GR"/>
        </w:rPr>
        <w:t xml:space="preserve"> </w:t>
      </w:r>
      <w:r>
        <w:rPr>
          <w:rFonts w:cs="Arial"/>
          <w:sz w:val="22"/>
          <w:szCs w:val="22"/>
        </w:rPr>
        <w:t>Port</w:t>
      </w:r>
      <w:r>
        <w:rPr>
          <w:rFonts w:cs="Arial"/>
          <w:sz w:val="22"/>
          <w:szCs w:val="22"/>
          <w:lang w:val="el-GR"/>
        </w:rPr>
        <w:t>-</w:t>
      </w:r>
      <w:r>
        <w:rPr>
          <w:rFonts w:cs="Arial"/>
          <w:sz w:val="22"/>
          <w:szCs w:val="22"/>
        </w:rPr>
        <w:t>Cros</w:t>
      </w:r>
      <w:r>
        <w:rPr>
          <w:rFonts w:cs="Arial"/>
          <w:sz w:val="22"/>
          <w:szCs w:val="22"/>
          <w:lang w:val="el-GR"/>
        </w:rPr>
        <w:t xml:space="preserve"> στη Γαλλία συνδυάζει προστασία και τουριστική ανάπτυξη.</w:t>
      </w:r>
    </w:p>
    <w:p w14:paraId="6C9791DC">
      <w:pPr>
        <w:numPr>
          <w:ilvl w:val="0"/>
          <w:numId w:val="3"/>
        </w:numPr>
        <w:tabs>
          <w:tab w:val="clear" w:pos="720"/>
        </w:tabs>
        <w:spacing w:after="60" w:line="259" w:lineRule="auto"/>
        <w:ind w:left="284" w:hanging="284"/>
        <w:jc w:val="both"/>
        <w:rPr>
          <w:rFonts w:cs="Arial"/>
          <w:sz w:val="22"/>
          <w:szCs w:val="22"/>
          <w:lang w:val="el-GR"/>
        </w:rPr>
      </w:pPr>
      <w:r>
        <w:rPr>
          <w:rFonts w:cs="Arial"/>
          <w:b/>
          <w:bCs/>
          <w:sz w:val="22"/>
          <w:szCs w:val="22"/>
          <w:lang w:val="el-GR"/>
        </w:rPr>
        <w:t xml:space="preserve">Συμμετοχή τοπικών κοινωνιών: </w:t>
      </w:r>
      <w:r>
        <w:rPr>
          <w:rFonts w:cs="Arial"/>
          <w:sz w:val="22"/>
          <w:szCs w:val="22"/>
          <w:lang w:val="el-GR"/>
        </w:rPr>
        <w:t>Τα θαλάσσια πάρκα ενισχύουν την τοπική συμμετοχή μέσω εκπαιδευτικών προγραμμάτων, βιώσιμων πρακτικών και συνεκτικής διαχείρισης, ενισχύοντας την αίσθηση ευθύνης και συμμετοχικότητας  στην προστασία του θαλάσσιου περιβάλλοντος.</w:t>
      </w:r>
    </w:p>
    <w:p w14:paraId="0DC38D3A">
      <w:pPr>
        <w:spacing w:line="259" w:lineRule="auto"/>
        <w:ind w:left="284"/>
        <w:jc w:val="both"/>
        <w:rPr>
          <w:rFonts w:cs="Arial"/>
          <w:sz w:val="22"/>
          <w:szCs w:val="22"/>
          <w:lang w:val="el-GR"/>
        </w:rPr>
      </w:pPr>
      <w:r>
        <w:rPr>
          <w:rFonts w:cs="Arial"/>
          <w:i/>
          <w:iCs/>
          <w:sz w:val="22"/>
          <w:szCs w:val="22"/>
          <w:lang w:val="el-GR"/>
        </w:rPr>
        <w:t>Παράδειγμα:</w:t>
      </w:r>
      <w:r>
        <w:rPr>
          <w:rFonts w:cs="Arial"/>
          <w:sz w:val="22"/>
          <w:szCs w:val="22"/>
          <w:lang w:val="el-GR"/>
        </w:rPr>
        <w:t xml:space="preserve"> Στη </w:t>
      </w:r>
      <w:r>
        <w:rPr>
          <w:rFonts w:cs="Arial"/>
          <w:sz w:val="22"/>
          <w:szCs w:val="22"/>
        </w:rPr>
        <w:t>Scandola</w:t>
      </w:r>
      <w:r>
        <w:rPr>
          <w:rFonts w:cs="Arial"/>
          <w:sz w:val="22"/>
          <w:szCs w:val="22"/>
          <w:lang w:val="el-GR"/>
        </w:rPr>
        <w:t xml:space="preserve"> (Κορσική), οι τοπικές κοινότητες συμμετέχουν ενεργά στη διαχείριση.</w:t>
      </w:r>
    </w:p>
    <w:p w14:paraId="220D978E">
      <w:pPr>
        <w:spacing w:line="259" w:lineRule="auto"/>
        <w:jc w:val="both"/>
        <w:rPr>
          <w:rFonts w:cs="Arial"/>
          <w:sz w:val="22"/>
          <w:szCs w:val="22"/>
          <w:u w:val="single"/>
          <w:lang w:val="el-GR"/>
        </w:rPr>
      </w:pPr>
    </w:p>
    <w:p w14:paraId="5AB1DBFB">
      <w:pPr>
        <w:spacing w:line="259" w:lineRule="auto"/>
        <w:jc w:val="both"/>
        <w:rPr>
          <w:rFonts w:cs="Arial"/>
          <w:sz w:val="22"/>
          <w:szCs w:val="22"/>
          <w:u w:val="single"/>
          <w:lang w:val="el-GR"/>
        </w:rPr>
      </w:pPr>
    </w:p>
    <w:p w14:paraId="7E7BDFE0">
      <w:pPr>
        <w:spacing w:line="259" w:lineRule="auto"/>
        <w:jc w:val="both"/>
        <w:rPr>
          <w:rFonts w:cs="Arial"/>
          <w:sz w:val="22"/>
          <w:szCs w:val="22"/>
          <w:u w:val="single"/>
          <w:lang w:val="el-GR"/>
        </w:rPr>
      </w:pPr>
      <w:r>
        <w:rPr>
          <w:rFonts w:cs="Arial"/>
          <w:sz w:val="22"/>
          <w:szCs w:val="22"/>
          <w:u w:val="single"/>
          <w:lang w:val="el-GR"/>
        </w:rPr>
        <w:t>Τα ενιαία θαλάσσια πάρκα αποτελούν μια σύγχρονη, αποτελεσματική και ολιστική στρατηγική προστασίας της θάλασσας, της νησιωτικής και παράκτιας ζώνης,  καθώς διασφαλίζουν την οικολογική συνοχή, βελτιώνουν τη διαχείριση και δημιουργούν κοινωνικά και οικονομικά οφέλη. Παρέχουν ένα δυνατό εργαλείο προστασίας της βιοποικιλότητας, ενισχύοντας ταυτόχρονα τη βιωσιμότητα των θαλάσσιων πόρων και των τοπικών κοινοτήτων.</w:t>
      </w:r>
    </w:p>
    <w:p w14:paraId="7148848A">
      <w:pPr>
        <w:pStyle w:val="23"/>
        <w:shd w:val="clear" w:color="auto" w:fill="FFFFFF"/>
        <w:tabs>
          <w:tab w:val="left" w:pos="0"/>
        </w:tabs>
        <w:spacing w:before="0" w:beforeAutospacing="0" w:after="120" w:afterAutospacing="0" w:line="259" w:lineRule="auto"/>
        <w:jc w:val="both"/>
        <w:rPr>
          <w:rFonts w:ascii="Aptos" w:hAnsi="Aptos" w:cs="Arial"/>
          <w:sz w:val="22"/>
          <w:szCs w:val="22"/>
        </w:rPr>
      </w:pPr>
    </w:p>
    <w:p w14:paraId="06119F31">
      <w:pPr>
        <w:pStyle w:val="14"/>
        <w:spacing w:after="120" w:line="259" w:lineRule="auto"/>
        <w:ind w:left="0"/>
        <w:contextualSpacing w:val="0"/>
        <w:rPr>
          <w:rFonts w:cs="Arial"/>
          <w:b/>
          <w:bCs/>
          <w:sz w:val="22"/>
          <w:szCs w:val="22"/>
          <w:lang w:val="el-GR"/>
        </w:rPr>
      </w:pPr>
      <w:r>
        <w:rPr>
          <w:rFonts w:cs="Arial"/>
          <w:b/>
          <w:bCs/>
          <w:sz w:val="22"/>
          <w:szCs w:val="22"/>
          <w:lang w:val="el-GR"/>
        </w:rPr>
        <w:t>4. Ποιο είναι το νομικό πλαίσιο και τι δεσμεύσεις έχει αναλάβει η Πολιτεία;</w:t>
      </w:r>
    </w:p>
    <w:p w14:paraId="6D14D46B">
      <w:pPr>
        <w:pStyle w:val="23"/>
        <w:shd w:val="clear" w:color="auto" w:fill="FFFFFF"/>
        <w:tabs>
          <w:tab w:val="left" w:pos="0"/>
        </w:tabs>
        <w:spacing w:before="0" w:beforeAutospacing="0" w:after="120" w:afterAutospacing="0" w:line="259" w:lineRule="auto"/>
        <w:jc w:val="both"/>
        <w:rPr>
          <w:rFonts w:ascii="Aptos" w:hAnsi="Aptos" w:cs="Arial"/>
          <w:sz w:val="22"/>
          <w:szCs w:val="22"/>
        </w:rPr>
      </w:pPr>
      <w:r>
        <w:rPr>
          <w:rFonts w:ascii="Aptos" w:hAnsi="Aptos" w:cs="Arial"/>
          <w:sz w:val="22"/>
          <w:szCs w:val="22"/>
        </w:rPr>
        <w:t xml:space="preserve">Το θεσμικό πλαίσιο καθορίζεται από: </w:t>
      </w:r>
    </w:p>
    <w:p w14:paraId="532600DC">
      <w:pPr>
        <w:pStyle w:val="23"/>
        <w:numPr>
          <w:ilvl w:val="0"/>
          <w:numId w:val="4"/>
        </w:numPr>
        <w:shd w:val="clear" w:color="auto" w:fill="FFFFFF"/>
        <w:tabs>
          <w:tab w:val="left" w:pos="0"/>
          <w:tab w:val="clear" w:pos="720"/>
        </w:tabs>
        <w:spacing w:before="0" w:beforeAutospacing="0" w:after="120" w:afterAutospacing="0" w:line="259" w:lineRule="auto"/>
        <w:ind w:left="426" w:hanging="284"/>
        <w:jc w:val="both"/>
        <w:rPr>
          <w:rFonts w:ascii="Aptos" w:hAnsi="Aptos" w:cs="Arial"/>
          <w:sz w:val="22"/>
          <w:szCs w:val="22"/>
        </w:rPr>
      </w:pPr>
      <w:r>
        <w:rPr>
          <w:rFonts w:ascii="Aptos" w:hAnsi="Aptos" w:cs="Arial"/>
          <w:sz w:val="22"/>
          <w:szCs w:val="22"/>
        </w:rPr>
        <w:t>Το ν. 1650/1986</w:t>
      </w:r>
    </w:p>
    <w:p w14:paraId="73FBD8A7">
      <w:pPr>
        <w:pStyle w:val="23"/>
        <w:numPr>
          <w:ilvl w:val="0"/>
          <w:numId w:val="4"/>
        </w:numPr>
        <w:shd w:val="clear" w:color="auto" w:fill="FFFFFF"/>
        <w:tabs>
          <w:tab w:val="left" w:pos="0"/>
          <w:tab w:val="clear" w:pos="720"/>
        </w:tabs>
        <w:spacing w:before="0" w:beforeAutospacing="0" w:after="120" w:afterAutospacing="0" w:line="259" w:lineRule="auto"/>
        <w:ind w:left="426" w:hanging="284"/>
        <w:jc w:val="both"/>
        <w:rPr>
          <w:rFonts w:ascii="Aptos" w:hAnsi="Aptos" w:cs="Arial"/>
          <w:sz w:val="22"/>
          <w:szCs w:val="22"/>
        </w:rPr>
      </w:pPr>
      <w:r>
        <w:rPr>
          <w:rFonts w:ascii="Aptos" w:hAnsi="Aptos" w:cs="Arial"/>
          <w:sz w:val="22"/>
          <w:szCs w:val="22"/>
        </w:rPr>
        <w:t>Την Οδηγία 92/43/ΕΟΚ (Natura 2000) και την Οδηγία 2009/147/ΕΚ περί της διατηρήσεως των αγρίων πτηνών</w:t>
      </w:r>
    </w:p>
    <w:p w14:paraId="1FB36B9E">
      <w:pPr>
        <w:pStyle w:val="23"/>
        <w:numPr>
          <w:ilvl w:val="0"/>
          <w:numId w:val="4"/>
        </w:numPr>
        <w:shd w:val="clear" w:color="auto" w:fill="FFFFFF"/>
        <w:tabs>
          <w:tab w:val="left" w:pos="0"/>
          <w:tab w:val="clear" w:pos="720"/>
        </w:tabs>
        <w:spacing w:before="0" w:beforeAutospacing="0" w:after="120" w:afterAutospacing="0" w:line="259" w:lineRule="auto"/>
        <w:ind w:left="426" w:hanging="284"/>
        <w:jc w:val="both"/>
        <w:rPr>
          <w:rFonts w:ascii="Aptos" w:hAnsi="Aptos" w:cs="Arial"/>
          <w:sz w:val="22"/>
          <w:szCs w:val="22"/>
        </w:rPr>
      </w:pPr>
      <w:r>
        <w:rPr>
          <w:rFonts w:ascii="Aptos" w:hAnsi="Aptos" w:cs="Arial"/>
          <w:sz w:val="22"/>
          <w:szCs w:val="22"/>
        </w:rPr>
        <w:t>Τη Συνθήκη της Βαρκελώνης</w:t>
      </w:r>
    </w:p>
    <w:p w14:paraId="41344412">
      <w:pPr>
        <w:pStyle w:val="23"/>
        <w:numPr>
          <w:ilvl w:val="0"/>
          <w:numId w:val="4"/>
        </w:numPr>
        <w:shd w:val="clear" w:color="auto" w:fill="FFFFFF"/>
        <w:tabs>
          <w:tab w:val="left" w:pos="0"/>
          <w:tab w:val="clear" w:pos="720"/>
        </w:tabs>
        <w:spacing w:before="0" w:beforeAutospacing="0" w:after="120" w:afterAutospacing="0" w:line="259" w:lineRule="auto"/>
        <w:ind w:left="426" w:hanging="284"/>
        <w:jc w:val="both"/>
        <w:rPr>
          <w:rFonts w:ascii="Aptos" w:hAnsi="Aptos" w:cs="Arial"/>
          <w:sz w:val="22"/>
          <w:szCs w:val="22"/>
        </w:rPr>
      </w:pPr>
      <w:r>
        <w:rPr>
          <w:rFonts w:ascii="Aptos" w:hAnsi="Aptos" w:cs="Arial"/>
          <w:sz w:val="22"/>
          <w:szCs w:val="22"/>
        </w:rPr>
        <w:t>Τη Συνθήκη της Βέρνης</w:t>
      </w:r>
    </w:p>
    <w:p w14:paraId="0D243ECF">
      <w:pPr>
        <w:pStyle w:val="23"/>
        <w:numPr>
          <w:ilvl w:val="0"/>
          <w:numId w:val="4"/>
        </w:numPr>
        <w:shd w:val="clear" w:color="auto" w:fill="FFFFFF"/>
        <w:tabs>
          <w:tab w:val="left" w:pos="0"/>
          <w:tab w:val="clear" w:pos="720"/>
        </w:tabs>
        <w:spacing w:before="0" w:beforeAutospacing="0" w:after="120" w:afterAutospacing="0" w:line="259" w:lineRule="auto"/>
        <w:ind w:left="426" w:hanging="284"/>
        <w:jc w:val="both"/>
        <w:rPr>
          <w:rFonts w:ascii="Aptos" w:hAnsi="Aptos" w:cs="Arial"/>
          <w:sz w:val="22"/>
          <w:szCs w:val="22"/>
        </w:rPr>
      </w:pPr>
      <w:r>
        <w:rPr>
          <w:rFonts w:ascii="Aptos" w:hAnsi="Aptos" w:cs="Arial"/>
          <w:sz w:val="22"/>
          <w:szCs w:val="22"/>
        </w:rPr>
        <w:t xml:space="preserve">Την </w:t>
      </w:r>
      <w:r>
        <w:rPr>
          <w:rFonts w:ascii="Aptos" w:hAnsi="Aptos" w:cs="Arial"/>
          <w:sz w:val="22"/>
          <w:szCs w:val="22"/>
          <w:lang w:val="en-US"/>
        </w:rPr>
        <w:t>ACCOBAMS</w:t>
      </w:r>
    </w:p>
    <w:p w14:paraId="428A3DA0">
      <w:pPr>
        <w:pStyle w:val="23"/>
        <w:numPr>
          <w:ilvl w:val="0"/>
          <w:numId w:val="4"/>
        </w:numPr>
        <w:shd w:val="clear" w:color="auto" w:fill="FFFFFF"/>
        <w:tabs>
          <w:tab w:val="left" w:pos="0"/>
          <w:tab w:val="clear" w:pos="720"/>
        </w:tabs>
        <w:spacing w:before="0" w:beforeAutospacing="0" w:after="120" w:afterAutospacing="0" w:line="259" w:lineRule="auto"/>
        <w:ind w:left="426" w:hanging="284"/>
        <w:jc w:val="both"/>
        <w:rPr>
          <w:rFonts w:ascii="Aptos" w:hAnsi="Aptos" w:cs="Arial"/>
          <w:sz w:val="22"/>
          <w:szCs w:val="22"/>
        </w:rPr>
      </w:pPr>
      <w:r>
        <w:rPr>
          <w:rFonts w:ascii="Aptos" w:hAnsi="Aptos" w:cs="Arial"/>
          <w:sz w:val="22"/>
          <w:szCs w:val="22"/>
        </w:rPr>
        <w:t>Την Ευρωπαϊκή Στρατηγική για την Βιοποικιλότητα έως το 2030</w:t>
      </w:r>
    </w:p>
    <w:p w14:paraId="4C6B0654">
      <w:pPr>
        <w:pStyle w:val="23"/>
        <w:numPr>
          <w:ilvl w:val="0"/>
          <w:numId w:val="4"/>
        </w:numPr>
        <w:shd w:val="clear" w:color="auto" w:fill="FFFFFF"/>
        <w:tabs>
          <w:tab w:val="left" w:pos="0"/>
          <w:tab w:val="clear" w:pos="720"/>
        </w:tabs>
        <w:spacing w:before="0" w:beforeAutospacing="0" w:after="120" w:afterAutospacing="0" w:line="259" w:lineRule="auto"/>
        <w:ind w:left="426" w:hanging="284"/>
        <w:jc w:val="both"/>
        <w:rPr>
          <w:rFonts w:ascii="Aptos" w:hAnsi="Aptos" w:cs="Arial"/>
          <w:sz w:val="22"/>
          <w:szCs w:val="22"/>
        </w:rPr>
      </w:pPr>
      <w:r>
        <w:rPr>
          <w:rFonts w:ascii="Aptos" w:hAnsi="Aptos" w:cs="Arial"/>
          <w:sz w:val="22"/>
          <w:szCs w:val="22"/>
        </w:rPr>
        <w:t>Την Εθνική Στρατηγική για τη Βιοποικιλότητα</w:t>
      </w:r>
    </w:p>
    <w:p w14:paraId="40DEB13D">
      <w:pPr>
        <w:pStyle w:val="23"/>
        <w:numPr>
          <w:ilvl w:val="0"/>
          <w:numId w:val="4"/>
        </w:numPr>
        <w:shd w:val="clear" w:color="auto" w:fill="FFFFFF"/>
        <w:tabs>
          <w:tab w:val="left" w:pos="0"/>
          <w:tab w:val="clear" w:pos="720"/>
        </w:tabs>
        <w:spacing w:before="0" w:beforeAutospacing="0" w:after="120" w:afterAutospacing="0" w:line="259" w:lineRule="auto"/>
        <w:ind w:left="426" w:hanging="284"/>
        <w:jc w:val="both"/>
        <w:rPr>
          <w:rFonts w:ascii="Aptos" w:hAnsi="Aptos" w:cs="Arial"/>
          <w:sz w:val="22"/>
          <w:szCs w:val="22"/>
        </w:rPr>
      </w:pPr>
      <w:r>
        <w:rPr>
          <w:rFonts w:ascii="Aptos" w:hAnsi="Aptos" w:cs="Arial"/>
          <w:sz w:val="22"/>
          <w:szCs w:val="22"/>
        </w:rPr>
        <w:t>Το Παγκόσμιο Πλαίσιο για τη Βιοποικιλότητα Kunming-Montreal</w:t>
      </w:r>
    </w:p>
    <w:p w14:paraId="3A423A24">
      <w:pPr>
        <w:pStyle w:val="23"/>
        <w:numPr>
          <w:ilvl w:val="0"/>
          <w:numId w:val="4"/>
        </w:numPr>
        <w:shd w:val="clear" w:color="auto" w:fill="FFFFFF"/>
        <w:tabs>
          <w:tab w:val="left" w:pos="0"/>
          <w:tab w:val="clear" w:pos="720"/>
        </w:tabs>
        <w:spacing w:before="0" w:beforeAutospacing="0" w:after="120" w:afterAutospacing="0" w:line="259" w:lineRule="auto"/>
        <w:ind w:left="426" w:hanging="284"/>
        <w:jc w:val="both"/>
        <w:rPr>
          <w:rFonts w:ascii="Aptos" w:hAnsi="Aptos" w:cs="Arial"/>
          <w:sz w:val="22"/>
          <w:szCs w:val="22"/>
        </w:rPr>
      </w:pPr>
      <w:r>
        <w:rPr>
          <w:rFonts w:ascii="Aptos" w:hAnsi="Aptos" w:cs="Arial"/>
          <w:sz w:val="22"/>
          <w:szCs w:val="22"/>
        </w:rPr>
        <w:t>Το Σχέδιο Δράσης της ΕΕ για την Προστασία και Αποκατάσταση των Θαλάσσιων Οικοσυστημάτων για Βιώσιμη και Ανθεκτική Αλιεία [COM(2023) 102 final]</w:t>
      </w:r>
    </w:p>
    <w:p w14:paraId="19BD4DC6">
      <w:pPr>
        <w:pStyle w:val="23"/>
        <w:numPr>
          <w:ilvl w:val="0"/>
          <w:numId w:val="4"/>
        </w:numPr>
        <w:shd w:val="clear" w:color="auto" w:fill="FFFFFF"/>
        <w:tabs>
          <w:tab w:val="left" w:pos="0"/>
          <w:tab w:val="clear" w:pos="720"/>
        </w:tabs>
        <w:spacing w:before="0" w:beforeAutospacing="0" w:after="120" w:afterAutospacing="0" w:line="259" w:lineRule="auto"/>
        <w:ind w:left="426" w:hanging="284"/>
        <w:jc w:val="both"/>
        <w:rPr>
          <w:rFonts w:ascii="Aptos" w:hAnsi="Aptos" w:cs="Arial"/>
          <w:sz w:val="22"/>
          <w:szCs w:val="22"/>
        </w:rPr>
      </w:pPr>
      <w:r>
        <w:rPr>
          <w:rFonts w:ascii="Aptos" w:hAnsi="Aptos" w:cs="Arial"/>
          <w:sz w:val="22"/>
          <w:szCs w:val="22"/>
        </w:rPr>
        <w:t>Τον Κανονισμό ΕΕ 2019/1241 σχετικά με τη διατήρηση αλιευτικών πόρων και την προστασία θαλάσσιων οικοσυστημάτων μέσω τεχνικών μέτρων</w:t>
      </w:r>
    </w:p>
    <w:p w14:paraId="0E5D5E7A">
      <w:pPr>
        <w:pStyle w:val="23"/>
        <w:numPr>
          <w:ilvl w:val="0"/>
          <w:numId w:val="4"/>
        </w:numPr>
        <w:shd w:val="clear" w:color="auto" w:fill="FFFFFF"/>
        <w:tabs>
          <w:tab w:val="left" w:pos="0"/>
          <w:tab w:val="clear" w:pos="720"/>
        </w:tabs>
        <w:spacing w:before="0" w:beforeAutospacing="0" w:after="120" w:afterAutospacing="0" w:line="259" w:lineRule="auto"/>
        <w:ind w:left="426" w:hanging="284"/>
        <w:jc w:val="both"/>
        <w:rPr>
          <w:rFonts w:ascii="Aptos" w:hAnsi="Aptos" w:cs="Arial"/>
          <w:sz w:val="22"/>
          <w:szCs w:val="22"/>
        </w:rPr>
      </w:pPr>
      <w:r>
        <w:rPr>
          <w:rFonts w:ascii="Aptos" w:hAnsi="Aptos" w:cs="Arial"/>
          <w:sz w:val="22"/>
          <w:szCs w:val="22"/>
        </w:rPr>
        <w:t>Τις δεσμεύσεις του Διεθνούς Συνεδρίου Our Ocean - An Ocean of Potential 2024:</w:t>
      </w:r>
    </w:p>
    <w:p w14:paraId="2EFE34FB">
      <w:pPr>
        <w:pStyle w:val="23"/>
        <w:numPr>
          <w:ilvl w:val="1"/>
          <w:numId w:val="5"/>
        </w:numPr>
        <w:shd w:val="clear" w:color="auto" w:fill="FFFFFF"/>
        <w:tabs>
          <w:tab w:val="left" w:pos="0"/>
          <w:tab w:val="left" w:pos="993"/>
          <w:tab w:val="clear" w:pos="1440"/>
        </w:tabs>
        <w:spacing w:before="0" w:beforeAutospacing="0" w:after="120" w:afterAutospacing="0" w:line="259" w:lineRule="auto"/>
        <w:ind w:left="993" w:hanging="426"/>
        <w:jc w:val="both"/>
        <w:rPr>
          <w:rFonts w:ascii="Aptos" w:hAnsi="Aptos" w:cs="Arial"/>
          <w:sz w:val="22"/>
          <w:szCs w:val="22"/>
        </w:rPr>
      </w:pPr>
      <w:r>
        <w:rPr>
          <w:rFonts w:ascii="Aptos" w:hAnsi="Aptos" w:cs="Arial"/>
          <w:sz w:val="22"/>
          <w:szCs w:val="22"/>
        </w:rPr>
        <w:t>Δέσμευση 01 για την απαγόρευση της αλιείας με τράτα σε όλες τις Θαλάσσιες Προστατευόμενες Περιοχές (ΘΠΠ) της Ελλάδας έως το 2030, ξεκινώντας από τα θαλάσσια εθνικά πάρκα έως το 2026.</w:t>
      </w:r>
    </w:p>
    <w:p w14:paraId="69433FAC">
      <w:pPr>
        <w:pStyle w:val="23"/>
        <w:numPr>
          <w:ilvl w:val="1"/>
          <w:numId w:val="5"/>
        </w:numPr>
        <w:shd w:val="clear" w:color="auto" w:fill="FFFFFF"/>
        <w:tabs>
          <w:tab w:val="left" w:pos="0"/>
          <w:tab w:val="left" w:pos="993"/>
          <w:tab w:val="clear" w:pos="1440"/>
        </w:tabs>
        <w:spacing w:before="0" w:beforeAutospacing="0" w:after="120" w:afterAutospacing="0" w:line="259" w:lineRule="auto"/>
        <w:ind w:left="993" w:hanging="426"/>
        <w:jc w:val="both"/>
        <w:rPr>
          <w:rFonts w:ascii="Aptos" w:hAnsi="Aptos" w:cs="Arial"/>
          <w:sz w:val="22"/>
          <w:szCs w:val="22"/>
        </w:rPr>
      </w:pPr>
      <w:r>
        <w:rPr>
          <w:rFonts w:ascii="Aptos" w:hAnsi="Aptos" w:cs="Arial"/>
          <w:sz w:val="22"/>
          <w:szCs w:val="22"/>
        </w:rPr>
        <w:t>Δέσμευση 02 για τη θέσπιση 2 νέων εθνικών θαλασσίων πάρκων σε Ιόνιο και Αιγαίο</w:t>
      </w:r>
    </w:p>
    <w:p w14:paraId="53EE960E">
      <w:pPr>
        <w:pStyle w:val="23"/>
        <w:shd w:val="clear" w:color="auto" w:fill="FFFFFF"/>
        <w:tabs>
          <w:tab w:val="left" w:pos="0"/>
        </w:tabs>
        <w:spacing w:before="0" w:beforeAutospacing="0" w:after="120" w:afterAutospacing="0" w:line="259" w:lineRule="auto"/>
        <w:jc w:val="both"/>
        <w:rPr>
          <w:rFonts w:ascii="Aptos" w:hAnsi="Aptos" w:cs="Arial"/>
          <w:sz w:val="22"/>
          <w:szCs w:val="22"/>
        </w:rPr>
      </w:pPr>
    </w:p>
    <w:p w14:paraId="02FF787F">
      <w:pPr>
        <w:pStyle w:val="14"/>
        <w:spacing w:after="120" w:line="259" w:lineRule="auto"/>
        <w:ind w:left="0"/>
        <w:contextualSpacing w:val="0"/>
        <w:rPr>
          <w:rFonts w:cs="Arial"/>
          <w:b/>
          <w:bCs/>
          <w:sz w:val="22"/>
          <w:szCs w:val="22"/>
          <w:lang w:val="el-GR"/>
        </w:rPr>
      </w:pPr>
      <w:r>
        <w:rPr>
          <w:rFonts w:cs="Arial"/>
          <w:b/>
          <w:bCs/>
          <w:sz w:val="22"/>
          <w:szCs w:val="22"/>
          <w:lang w:val="el-GR"/>
        </w:rPr>
        <w:t>5. Ποια η σημασία των δύο νέων Εθνικών Θαλάσσιων Πάρκων σε διεθνές επίπεδο;</w:t>
      </w:r>
    </w:p>
    <w:p w14:paraId="1DBE58B6">
      <w:pPr>
        <w:spacing w:after="120" w:line="259" w:lineRule="auto"/>
        <w:jc w:val="both"/>
        <w:rPr>
          <w:rFonts w:eastAsia="Times New Roman" w:cs="Calibri"/>
          <w:color w:val="000000"/>
          <w:kern w:val="0"/>
          <w:sz w:val="22"/>
          <w:szCs w:val="22"/>
          <w:lang w:val="el-GR" w:eastAsia="el-GR"/>
        </w:rPr>
      </w:pPr>
      <w:r>
        <w:rPr>
          <w:rFonts w:eastAsia="Times New Roman" w:cs="Arial"/>
          <w:color w:val="000000"/>
          <w:kern w:val="0"/>
          <w:sz w:val="22"/>
          <w:szCs w:val="22"/>
          <w:lang w:val="el-GR" w:eastAsia="el-GR"/>
        </w:rPr>
        <w:t>Σε ότι αφορά στην αξία του για την προστατευόμενη ορνιθοπανίδα, αρκεί να αναφερθεί για το Εθνικό Θαλάσσιο Πάρκο Νοτίου Αιγαίου 1 – Νότιες Κυκλάδες, ότι το ένα στα δέκα θαλασσοπούλια και μαυροπετρίτες της χώρας μας, αναπαράγονται στην περιοχή. Ειδικότερα, το πάρκο έχει παγκόσμια σημασία για ορισμένα είδη ορνιθοπανίδας. Συγκεκριμένα, σε παγκόσμιο επίπεδο, πέραν της αξίας του για τα ενδημικά είδη, υποστηρίζει περίπου το 14,25% του παγκόσμιου πληθυσμού του Μαυροπετρίτη, 5% του παγκόσμιου πληθυσμού του Μύχου. Σε εθνικό επίπεδο το ΕΘΠΝA1 - Νότιες ΚΥΚΛΑΔΕΣ φιλοξενεί τους βιοτόπους αναπαραγωγής για το 17,7% του εθνικού πληθυσμού του Μαυροπετρίτη, το 12,5%  του εθνικού πληθυσμού Μύχου, το 11% του Αρτέμη, το 36% του Αιγαιόγλαρου και το 13% του εθνικού πληθυσμού του Θαλασσοκόρακα.</w:t>
      </w:r>
      <w:r>
        <w:rPr>
          <w:rFonts w:eastAsia="Times New Roman" w:cs="Calibri"/>
          <w:color w:val="000000"/>
          <w:kern w:val="0"/>
          <w:sz w:val="22"/>
          <w:szCs w:val="22"/>
          <w:lang w:val="el-GR" w:eastAsia="el-GR"/>
        </w:rPr>
        <w:t xml:space="preserve"> </w:t>
      </w:r>
    </w:p>
    <w:p w14:paraId="64581ABA">
      <w:pPr>
        <w:spacing w:after="120" w:line="259" w:lineRule="auto"/>
        <w:jc w:val="both"/>
        <w:rPr>
          <w:rFonts w:eastAsia="Times New Roman" w:cs="Calibri"/>
          <w:color w:val="000000"/>
          <w:kern w:val="0"/>
          <w:sz w:val="22"/>
          <w:szCs w:val="22"/>
          <w:lang w:val="el-GR" w:eastAsia="el-GR"/>
        </w:rPr>
      </w:pPr>
    </w:p>
    <w:p w14:paraId="430BFB28">
      <w:pPr>
        <w:spacing w:after="120" w:line="259" w:lineRule="auto"/>
        <w:jc w:val="both"/>
        <w:rPr>
          <w:rFonts w:eastAsia="Times New Roman" w:cs="Calibri"/>
          <w:color w:val="000000"/>
          <w:kern w:val="0"/>
          <w:sz w:val="22"/>
          <w:szCs w:val="22"/>
          <w:lang w:val="el-GR" w:eastAsia="el-GR"/>
        </w:rPr>
      </w:pPr>
    </w:p>
    <w:p w14:paraId="2A5DF6EB">
      <w:pPr>
        <w:spacing w:after="120" w:line="259" w:lineRule="auto"/>
        <w:jc w:val="both"/>
        <w:rPr>
          <w:rFonts w:eastAsia="Times New Roman" w:cs="Calibri"/>
          <w:color w:val="000000"/>
          <w:kern w:val="0"/>
          <w:sz w:val="22"/>
          <w:szCs w:val="22"/>
          <w:lang w:val="el-GR" w:eastAsia="el-GR"/>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8"/>
        <w:gridCol w:w="2047"/>
        <w:gridCol w:w="2047"/>
        <w:gridCol w:w="2048"/>
      </w:tblGrid>
      <w:tr w14:paraId="56957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68" w:type="dxa"/>
            <w:shd w:val="clear" w:color="auto" w:fill="DAE9F7"/>
            <w:vAlign w:val="center"/>
          </w:tcPr>
          <w:p w14:paraId="71D653B5">
            <w:pPr>
              <w:spacing w:line="259" w:lineRule="auto"/>
              <w:rPr>
                <w:rFonts w:eastAsia="Calibri" w:cs="Arial"/>
                <w:sz w:val="20"/>
                <w:szCs w:val="20"/>
              </w:rPr>
            </w:pPr>
            <w:r>
              <w:rPr>
                <w:rFonts w:eastAsia="Calibri" w:cs="Arial"/>
                <w:b/>
                <w:bCs/>
                <w:color w:val="000000"/>
                <w:sz w:val="20"/>
                <w:szCs w:val="20"/>
                <w:lang w:eastAsia="el-GR"/>
              </w:rPr>
              <w:t>Είδος</w:t>
            </w:r>
          </w:p>
        </w:tc>
        <w:tc>
          <w:tcPr>
            <w:tcW w:w="2047" w:type="dxa"/>
            <w:shd w:val="clear" w:color="auto" w:fill="DAE9F7"/>
            <w:vAlign w:val="center"/>
          </w:tcPr>
          <w:p w14:paraId="46564BC0">
            <w:pPr>
              <w:spacing w:line="259" w:lineRule="auto"/>
              <w:jc w:val="center"/>
              <w:rPr>
                <w:rFonts w:eastAsia="Calibri" w:cs="Arial"/>
                <w:b/>
                <w:bCs/>
                <w:color w:val="000000"/>
                <w:sz w:val="20"/>
                <w:szCs w:val="20"/>
                <w:lang w:val="el-GR" w:eastAsia="el-GR"/>
              </w:rPr>
            </w:pPr>
            <w:r>
              <w:rPr>
                <w:rFonts w:eastAsia="Calibri" w:cs="Arial"/>
                <w:b/>
                <w:bCs/>
                <w:color w:val="000000"/>
                <w:sz w:val="20"/>
                <w:szCs w:val="20"/>
                <w:lang w:val="el-GR" w:eastAsia="el-GR"/>
              </w:rPr>
              <w:t>Ποσοστό Παγκόσμιου πληθυσμού εντός πάρκου</w:t>
            </w:r>
          </w:p>
        </w:tc>
        <w:tc>
          <w:tcPr>
            <w:tcW w:w="2047" w:type="dxa"/>
            <w:shd w:val="clear" w:color="auto" w:fill="DAE9F7"/>
            <w:vAlign w:val="center"/>
          </w:tcPr>
          <w:p w14:paraId="77A4EE79">
            <w:pPr>
              <w:spacing w:line="259" w:lineRule="auto"/>
              <w:jc w:val="center"/>
              <w:rPr>
                <w:rFonts w:eastAsia="Calibri" w:cs="Arial"/>
                <w:b/>
                <w:bCs/>
                <w:color w:val="000000"/>
                <w:sz w:val="20"/>
                <w:szCs w:val="20"/>
                <w:lang w:val="el-GR" w:eastAsia="el-GR"/>
              </w:rPr>
            </w:pPr>
            <w:r>
              <w:rPr>
                <w:rFonts w:eastAsia="Calibri" w:cs="Arial"/>
                <w:b/>
                <w:bCs/>
                <w:color w:val="000000"/>
                <w:sz w:val="20"/>
                <w:szCs w:val="20"/>
                <w:lang w:val="el-GR" w:eastAsia="el-GR"/>
              </w:rPr>
              <w:t>Ποσοστό Ευρωπαϊκού πληθυσμού εντός πάρκου</w:t>
            </w:r>
          </w:p>
        </w:tc>
        <w:tc>
          <w:tcPr>
            <w:tcW w:w="2048" w:type="dxa"/>
            <w:shd w:val="clear" w:color="auto" w:fill="DAE9F7"/>
            <w:vAlign w:val="center"/>
          </w:tcPr>
          <w:p w14:paraId="0D5D7D1D">
            <w:pPr>
              <w:spacing w:line="259" w:lineRule="auto"/>
              <w:jc w:val="center"/>
              <w:rPr>
                <w:rFonts w:eastAsia="Calibri" w:cs="Arial"/>
                <w:b/>
                <w:bCs/>
                <w:color w:val="000000"/>
                <w:sz w:val="20"/>
                <w:szCs w:val="20"/>
                <w:lang w:val="el-GR" w:eastAsia="el-GR"/>
              </w:rPr>
            </w:pPr>
            <w:r>
              <w:rPr>
                <w:rFonts w:eastAsia="Calibri" w:cs="Arial"/>
                <w:b/>
                <w:bCs/>
                <w:color w:val="000000"/>
                <w:sz w:val="20"/>
                <w:szCs w:val="20"/>
                <w:lang w:val="el-GR" w:eastAsia="el-GR"/>
              </w:rPr>
              <w:t xml:space="preserve">Ποσοστό </w:t>
            </w:r>
            <w:r>
              <w:rPr>
                <w:rFonts w:eastAsia="Calibri" w:cs="Arial"/>
                <w:b/>
                <w:bCs/>
                <w:color w:val="000000"/>
                <w:sz w:val="20"/>
                <w:szCs w:val="20"/>
                <w:lang w:val="el-GR" w:eastAsia="el-GR"/>
              </w:rPr>
              <w:br w:type="textWrapping"/>
            </w:r>
            <w:r>
              <w:rPr>
                <w:rFonts w:eastAsia="Calibri" w:cs="Arial"/>
                <w:b/>
                <w:bCs/>
                <w:color w:val="000000"/>
                <w:sz w:val="20"/>
                <w:szCs w:val="20"/>
                <w:lang w:val="el-GR" w:eastAsia="el-GR"/>
              </w:rPr>
              <w:t>Εθνικού πληθυσμού εντός πάρκου</w:t>
            </w:r>
          </w:p>
        </w:tc>
      </w:tr>
      <w:tr w14:paraId="3F6EC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68" w:type="dxa"/>
            <w:vAlign w:val="bottom"/>
          </w:tcPr>
          <w:p w14:paraId="3FF8B747">
            <w:pPr>
              <w:spacing w:line="259" w:lineRule="auto"/>
              <w:rPr>
                <w:rFonts w:eastAsia="Calibri" w:cs="Arial"/>
                <w:sz w:val="20"/>
                <w:szCs w:val="20"/>
              </w:rPr>
            </w:pPr>
            <w:r>
              <w:rPr>
                <w:rFonts w:eastAsia="Calibri" w:cs="Arial"/>
                <w:color w:val="000000"/>
                <w:sz w:val="20"/>
                <w:szCs w:val="20"/>
                <w:lang w:eastAsia="el-GR"/>
              </w:rPr>
              <w:t>Μαυροπετρίτης</w:t>
            </w:r>
          </w:p>
        </w:tc>
        <w:tc>
          <w:tcPr>
            <w:tcW w:w="2047" w:type="dxa"/>
            <w:vAlign w:val="bottom"/>
          </w:tcPr>
          <w:p w14:paraId="439BF6FC">
            <w:pPr>
              <w:spacing w:line="259" w:lineRule="auto"/>
              <w:jc w:val="center"/>
              <w:rPr>
                <w:rFonts w:eastAsia="Calibri" w:cs="Arial"/>
                <w:color w:val="000000"/>
                <w:sz w:val="20"/>
                <w:szCs w:val="20"/>
                <w:lang w:eastAsia="el-GR"/>
              </w:rPr>
            </w:pPr>
            <w:r>
              <w:rPr>
                <w:rFonts w:cs="Arial"/>
                <w:color w:val="000000"/>
                <w:sz w:val="20"/>
                <w:szCs w:val="20"/>
              </w:rPr>
              <w:t>14,25%</w:t>
            </w:r>
          </w:p>
        </w:tc>
        <w:tc>
          <w:tcPr>
            <w:tcW w:w="2047" w:type="dxa"/>
            <w:vAlign w:val="bottom"/>
          </w:tcPr>
          <w:p w14:paraId="515EF35E">
            <w:pPr>
              <w:spacing w:line="259" w:lineRule="auto"/>
              <w:jc w:val="center"/>
              <w:rPr>
                <w:rFonts w:eastAsia="Calibri" w:cs="Arial"/>
                <w:color w:val="000000"/>
                <w:sz w:val="20"/>
                <w:szCs w:val="20"/>
                <w:lang w:eastAsia="el-GR"/>
              </w:rPr>
            </w:pPr>
            <w:r>
              <w:rPr>
                <w:rFonts w:cs="Arial"/>
                <w:color w:val="000000"/>
                <w:sz w:val="20"/>
                <w:szCs w:val="20"/>
              </w:rPr>
              <w:t>16,22%</w:t>
            </w:r>
          </w:p>
        </w:tc>
        <w:tc>
          <w:tcPr>
            <w:tcW w:w="2048" w:type="dxa"/>
            <w:vAlign w:val="bottom"/>
          </w:tcPr>
          <w:p w14:paraId="42AB447A">
            <w:pPr>
              <w:spacing w:line="259" w:lineRule="auto"/>
              <w:jc w:val="center"/>
              <w:rPr>
                <w:rFonts w:eastAsia="Calibri" w:cs="Arial"/>
                <w:color w:val="000000"/>
                <w:sz w:val="20"/>
                <w:szCs w:val="20"/>
                <w:lang w:eastAsia="el-GR"/>
              </w:rPr>
            </w:pPr>
            <w:r>
              <w:rPr>
                <w:rFonts w:cs="Arial"/>
                <w:color w:val="000000"/>
                <w:sz w:val="20"/>
                <w:szCs w:val="20"/>
              </w:rPr>
              <w:t>17,68%</w:t>
            </w:r>
          </w:p>
        </w:tc>
      </w:tr>
      <w:tr w14:paraId="03411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68" w:type="dxa"/>
            <w:vAlign w:val="bottom"/>
          </w:tcPr>
          <w:p w14:paraId="1720F6D7">
            <w:pPr>
              <w:spacing w:line="259" w:lineRule="auto"/>
              <w:rPr>
                <w:rFonts w:eastAsia="Calibri" w:cs="Arial"/>
                <w:color w:val="000000"/>
                <w:sz w:val="20"/>
                <w:szCs w:val="20"/>
                <w:lang w:eastAsia="el-GR"/>
              </w:rPr>
            </w:pPr>
            <w:r>
              <w:rPr>
                <w:rFonts w:eastAsia="Calibri" w:cs="Arial"/>
                <w:color w:val="000000"/>
                <w:sz w:val="20"/>
                <w:szCs w:val="20"/>
                <w:lang w:eastAsia="el-GR"/>
              </w:rPr>
              <w:t>Μύχος</w:t>
            </w:r>
          </w:p>
        </w:tc>
        <w:tc>
          <w:tcPr>
            <w:tcW w:w="2047" w:type="dxa"/>
            <w:vAlign w:val="bottom"/>
          </w:tcPr>
          <w:p w14:paraId="66AA5B0A">
            <w:pPr>
              <w:spacing w:line="259" w:lineRule="auto"/>
              <w:jc w:val="center"/>
              <w:rPr>
                <w:rFonts w:eastAsia="Calibri" w:cs="Arial"/>
                <w:color w:val="000000"/>
                <w:sz w:val="20"/>
                <w:szCs w:val="20"/>
                <w:lang w:eastAsia="el-GR"/>
              </w:rPr>
            </w:pPr>
            <w:r>
              <w:rPr>
                <w:rFonts w:cs="Arial"/>
                <w:color w:val="000000"/>
                <w:sz w:val="20"/>
                <w:szCs w:val="20"/>
              </w:rPr>
              <w:t>5,03%</w:t>
            </w:r>
          </w:p>
        </w:tc>
        <w:tc>
          <w:tcPr>
            <w:tcW w:w="2047" w:type="dxa"/>
            <w:vAlign w:val="bottom"/>
          </w:tcPr>
          <w:p w14:paraId="30736CAB">
            <w:pPr>
              <w:spacing w:line="259" w:lineRule="auto"/>
              <w:jc w:val="center"/>
              <w:rPr>
                <w:rFonts w:eastAsia="Calibri" w:cs="Arial"/>
                <w:color w:val="000000"/>
                <w:sz w:val="20"/>
                <w:szCs w:val="20"/>
                <w:lang w:eastAsia="el-GR"/>
              </w:rPr>
            </w:pPr>
            <w:r>
              <w:rPr>
                <w:rFonts w:cs="Arial"/>
                <w:color w:val="000000"/>
                <w:sz w:val="20"/>
                <w:szCs w:val="20"/>
              </w:rPr>
              <w:t>5,03%</w:t>
            </w:r>
          </w:p>
        </w:tc>
        <w:tc>
          <w:tcPr>
            <w:tcW w:w="2048" w:type="dxa"/>
            <w:vAlign w:val="bottom"/>
          </w:tcPr>
          <w:p w14:paraId="571CB463">
            <w:pPr>
              <w:spacing w:line="259" w:lineRule="auto"/>
              <w:jc w:val="center"/>
              <w:rPr>
                <w:rFonts w:eastAsia="Calibri" w:cs="Arial"/>
                <w:color w:val="000000"/>
                <w:sz w:val="20"/>
                <w:szCs w:val="20"/>
                <w:lang w:eastAsia="el-GR"/>
              </w:rPr>
            </w:pPr>
            <w:r>
              <w:rPr>
                <w:rFonts w:cs="Arial"/>
                <w:color w:val="000000"/>
                <w:sz w:val="20"/>
                <w:szCs w:val="20"/>
              </w:rPr>
              <w:t>12,46%</w:t>
            </w:r>
          </w:p>
        </w:tc>
      </w:tr>
      <w:tr w14:paraId="3803E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68" w:type="dxa"/>
            <w:vAlign w:val="bottom"/>
          </w:tcPr>
          <w:p w14:paraId="72795951">
            <w:pPr>
              <w:spacing w:line="259" w:lineRule="auto"/>
              <w:rPr>
                <w:rFonts w:eastAsia="Calibri" w:cs="Arial"/>
                <w:color w:val="000000"/>
                <w:sz w:val="20"/>
                <w:szCs w:val="20"/>
                <w:lang w:eastAsia="el-GR"/>
              </w:rPr>
            </w:pPr>
            <w:r>
              <w:rPr>
                <w:rFonts w:eastAsia="Calibri" w:cs="Arial"/>
                <w:color w:val="000000"/>
                <w:sz w:val="20"/>
                <w:szCs w:val="20"/>
                <w:lang w:eastAsia="el-GR"/>
              </w:rPr>
              <w:t>Αρτέμης</w:t>
            </w:r>
          </w:p>
        </w:tc>
        <w:tc>
          <w:tcPr>
            <w:tcW w:w="2047" w:type="dxa"/>
            <w:vAlign w:val="bottom"/>
          </w:tcPr>
          <w:p w14:paraId="34646526">
            <w:pPr>
              <w:spacing w:line="259" w:lineRule="auto"/>
              <w:jc w:val="center"/>
              <w:rPr>
                <w:rFonts w:eastAsia="Calibri" w:cs="Arial"/>
                <w:color w:val="000000"/>
                <w:sz w:val="20"/>
                <w:szCs w:val="20"/>
                <w:lang w:eastAsia="el-GR"/>
              </w:rPr>
            </w:pPr>
            <w:r>
              <w:rPr>
                <w:rFonts w:cs="Arial"/>
                <w:color w:val="000000"/>
                <w:sz w:val="20"/>
                <w:szCs w:val="20"/>
              </w:rPr>
              <w:t>0,58%</w:t>
            </w:r>
          </w:p>
        </w:tc>
        <w:tc>
          <w:tcPr>
            <w:tcW w:w="2047" w:type="dxa"/>
            <w:vAlign w:val="bottom"/>
          </w:tcPr>
          <w:p w14:paraId="0A8942CB">
            <w:pPr>
              <w:spacing w:line="259" w:lineRule="auto"/>
              <w:jc w:val="center"/>
              <w:rPr>
                <w:rFonts w:eastAsia="Calibri" w:cs="Arial"/>
                <w:color w:val="000000"/>
                <w:sz w:val="20"/>
                <w:szCs w:val="20"/>
                <w:lang w:eastAsia="el-GR"/>
              </w:rPr>
            </w:pPr>
            <w:r>
              <w:rPr>
                <w:rFonts w:cs="Arial"/>
                <w:color w:val="000000"/>
                <w:sz w:val="20"/>
                <w:szCs w:val="20"/>
              </w:rPr>
              <w:t>2,81%</w:t>
            </w:r>
          </w:p>
        </w:tc>
        <w:tc>
          <w:tcPr>
            <w:tcW w:w="2048" w:type="dxa"/>
            <w:vAlign w:val="bottom"/>
          </w:tcPr>
          <w:p w14:paraId="4ED40D02">
            <w:pPr>
              <w:spacing w:line="259" w:lineRule="auto"/>
              <w:jc w:val="center"/>
              <w:rPr>
                <w:rFonts w:eastAsia="Calibri" w:cs="Arial"/>
                <w:color w:val="000000"/>
                <w:sz w:val="20"/>
                <w:szCs w:val="20"/>
                <w:lang w:eastAsia="el-GR"/>
              </w:rPr>
            </w:pPr>
            <w:r>
              <w:rPr>
                <w:rFonts w:cs="Arial"/>
                <w:color w:val="000000"/>
                <w:sz w:val="20"/>
                <w:szCs w:val="20"/>
              </w:rPr>
              <w:t>11,21%</w:t>
            </w:r>
          </w:p>
        </w:tc>
      </w:tr>
      <w:tr w14:paraId="5B6E7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68" w:type="dxa"/>
            <w:vAlign w:val="bottom"/>
          </w:tcPr>
          <w:p w14:paraId="08AD0374">
            <w:pPr>
              <w:spacing w:line="259" w:lineRule="auto"/>
              <w:rPr>
                <w:rFonts w:eastAsia="Calibri" w:cs="Arial"/>
                <w:sz w:val="20"/>
                <w:szCs w:val="20"/>
              </w:rPr>
            </w:pPr>
            <w:r>
              <w:rPr>
                <w:rFonts w:eastAsia="Calibri" w:cs="Arial"/>
                <w:color w:val="000000"/>
                <w:sz w:val="20"/>
                <w:szCs w:val="20"/>
                <w:lang w:eastAsia="el-GR"/>
              </w:rPr>
              <w:t>Αιγαιόγλαρος</w:t>
            </w:r>
          </w:p>
        </w:tc>
        <w:tc>
          <w:tcPr>
            <w:tcW w:w="2047" w:type="dxa"/>
            <w:vAlign w:val="bottom"/>
          </w:tcPr>
          <w:p w14:paraId="706A30A9">
            <w:pPr>
              <w:spacing w:line="259" w:lineRule="auto"/>
              <w:jc w:val="center"/>
              <w:rPr>
                <w:rFonts w:eastAsia="Calibri" w:cs="Arial"/>
                <w:color w:val="000000"/>
                <w:sz w:val="20"/>
                <w:szCs w:val="20"/>
                <w:lang w:eastAsia="el-GR"/>
              </w:rPr>
            </w:pPr>
            <w:r>
              <w:rPr>
                <w:rFonts w:cs="Arial"/>
                <w:color w:val="000000"/>
                <w:sz w:val="20"/>
                <w:szCs w:val="20"/>
              </w:rPr>
              <w:t>0,32%</w:t>
            </w:r>
          </w:p>
        </w:tc>
        <w:tc>
          <w:tcPr>
            <w:tcW w:w="2047" w:type="dxa"/>
            <w:vAlign w:val="bottom"/>
          </w:tcPr>
          <w:p w14:paraId="34D9B416">
            <w:pPr>
              <w:spacing w:line="259" w:lineRule="auto"/>
              <w:jc w:val="center"/>
              <w:rPr>
                <w:rFonts w:eastAsia="Calibri" w:cs="Arial"/>
                <w:color w:val="000000"/>
                <w:sz w:val="20"/>
                <w:szCs w:val="20"/>
                <w:lang w:eastAsia="el-GR"/>
              </w:rPr>
            </w:pPr>
            <w:r>
              <w:rPr>
                <w:rFonts w:cs="Arial"/>
                <w:color w:val="000000"/>
                <w:sz w:val="20"/>
                <w:szCs w:val="20"/>
              </w:rPr>
              <w:t>0,34%</w:t>
            </w:r>
          </w:p>
        </w:tc>
        <w:tc>
          <w:tcPr>
            <w:tcW w:w="2048" w:type="dxa"/>
            <w:vAlign w:val="bottom"/>
          </w:tcPr>
          <w:p w14:paraId="1EDE9107">
            <w:pPr>
              <w:spacing w:line="259" w:lineRule="auto"/>
              <w:jc w:val="center"/>
              <w:rPr>
                <w:rFonts w:eastAsia="Calibri" w:cs="Arial"/>
                <w:color w:val="000000"/>
                <w:sz w:val="20"/>
                <w:szCs w:val="20"/>
                <w:lang w:eastAsia="el-GR"/>
              </w:rPr>
            </w:pPr>
            <w:r>
              <w:rPr>
                <w:rFonts w:cs="Arial"/>
                <w:color w:val="000000"/>
                <w:sz w:val="20"/>
                <w:szCs w:val="20"/>
              </w:rPr>
              <w:t>36,00%</w:t>
            </w:r>
          </w:p>
        </w:tc>
      </w:tr>
      <w:tr w14:paraId="7EFC9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68" w:type="dxa"/>
            <w:vAlign w:val="bottom"/>
          </w:tcPr>
          <w:p w14:paraId="37A3BB9E">
            <w:pPr>
              <w:spacing w:line="259" w:lineRule="auto"/>
              <w:rPr>
                <w:rFonts w:eastAsia="Calibri" w:cs="Arial"/>
                <w:sz w:val="20"/>
                <w:szCs w:val="20"/>
              </w:rPr>
            </w:pPr>
            <w:r>
              <w:rPr>
                <w:rFonts w:eastAsia="Calibri" w:cs="Arial"/>
                <w:color w:val="000000"/>
                <w:sz w:val="20"/>
                <w:szCs w:val="20"/>
                <w:lang w:eastAsia="el-GR"/>
              </w:rPr>
              <w:t>Θαλασσοκόρακας της Μεσογείου</w:t>
            </w:r>
          </w:p>
        </w:tc>
        <w:tc>
          <w:tcPr>
            <w:tcW w:w="2047" w:type="dxa"/>
            <w:vAlign w:val="bottom"/>
          </w:tcPr>
          <w:p w14:paraId="1F61683A">
            <w:pPr>
              <w:spacing w:line="259" w:lineRule="auto"/>
              <w:jc w:val="center"/>
              <w:rPr>
                <w:rFonts w:eastAsia="Calibri" w:cs="Arial"/>
                <w:color w:val="000000"/>
                <w:sz w:val="20"/>
                <w:szCs w:val="20"/>
                <w:lang w:eastAsia="el-GR"/>
              </w:rPr>
            </w:pPr>
            <w:r>
              <w:rPr>
                <w:rFonts w:cs="Arial"/>
                <w:color w:val="000000"/>
                <w:sz w:val="20"/>
                <w:szCs w:val="20"/>
              </w:rPr>
              <w:t>1,76%</w:t>
            </w:r>
          </w:p>
        </w:tc>
        <w:tc>
          <w:tcPr>
            <w:tcW w:w="2047" w:type="dxa"/>
            <w:vAlign w:val="bottom"/>
          </w:tcPr>
          <w:p w14:paraId="76E84C03">
            <w:pPr>
              <w:spacing w:line="259" w:lineRule="auto"/>
              <w:jc w:val="center"/>
              <w:rPr>
                <w:rFonts w:eastAsia="Calibri" w:cs="Arial"/>
                <w:color w:val="000000"/>
                <w:sz w:val="20"/>
                <w:szCs w:val="20"/>
                <w:lang w:eastAsia="el-GR"/>
              </w:rPr>
            </w:pPr>
            <w:r>
              <w:rPr>
                <w:rFonts w:cs="Arial"/>
                <w:color w:val="000000"/>
                <w:sz w:val="20"/>
                <w:szCs w:val="20"/>
              </w:rPr>
              <w:t>1,76%</w:t>
            </w:r>
          </w:p>
        </w:tc>
        <w:tc>
          <w:tcPr>
            <w:tcW w:w="2048" w:type="dxa"/>
            <w:vAlign w:val="bottom"/>
          </w:tcPr>
          <w:p w14:paraId="48B91237">
            <w:pPr>
              <w:spacing w:line="259" w:lineRule="auto"/>
              <w:jc w:val="center"/>
              <w:rPr>
                <w:rFonts w:eastAsia="Calibri" w:cs="Arial"/>
                <w:color w:val="000000"/>
                <w:sz w:val="20"/>
                <w:szCs w:val="20"/>
                <w:lang w:eastAsia="el-GR"/>
              </w:rPr>
            </w:pPr>
            <w:r>
              <w:rPr>
                <w:rFonts w:cs="Arial"/>
                <w:color w:val="000000"/>
                <w:sz w:val="20"/>
                <w:szCs w:val="20"/>
              </w:rPr>
              <w:t>13,13%</w:t>
            </w:r>
          </w:p>
        </w:tc>
      </w:tr>
    </w:tbl>
    <w:p w14:paraId="3C20CF3D">
      <w:pPr>
        <w:spacing w:line="259" w:lineRule="auto"/>
        <w:rPr>
          <w:rFonts w:eastAsia="Times New Roman" w:cs="Arial"/>
          <w:color w:val="000000"/>
          <w:kern w:val="0"/>
          <w:sz w:val="22"/>
          <w:szCs w:val="22"/>
          <w:lang w:val="el-GR" w:eastAsia="el-GR"/>
        </w:rPr>
      </w:pPr>
    </w:p>
    <w:p w14:paraId="51BB2BE7">
      <w:pPr>
        <w:spacing w:line="259" w:lineRule="auto"/>
        <w:jc w:val="both"/>
        <w:rPr>
          <w:rFonts w:eastAsia="Times New Roman" w:cs="Arial"/>
          <w:color w:val="000000"/>
          <w:kern w:val="0"/>
          <w:sz w:val="22"/>
          <w:szCs w:val="22"/>
          <w:lang w:val="el-GR" w:eastAsia="el-GR"/>
        </w:rPr>
      </w:pPr>
      <w:r>
        <w:rPr>
          <w:rFonts w:eastAsia="Times New Roman" w:cs="Arial"/>
          <w:color w:val="000000"/>
          <w:kern w:val="0"/>
          <w:sz w:val="22"/>
          <w:szCs w:val="22"/>
          <w:lang w:val="el-GR" w:eastAsia="el-GR"/>
        </w:rPr>
        <w:t>Ως προς το θαλάσσιο τμήμα του Πάρκου Νοτίου Αιγαίου 1 – Νότιες Κυκλάδες, στην περιοχή ζουν, τρέφονται και κυρίως αναπαράγονται 150 Μεσογειακές φώκιες (37,5% του εθνικού πληθυσμού του είδους), η μεγαλύτερη συγκέντρωση που καταγράφεται σε Θαλάσσιο Πάρκο στην χώρα μας και παγκοσμίως. Το πάρκο φιλοξενεί βιοτόπους που καλύπτουν έως το 5% της εκτιμώμενης εθνικής κατανομής (ως προς το χώρο) Ζιφιού και Φυσητήρα, έως το 9,3% της εκτιμώμενης εθνικής κατανομής του Ζωνοδέλφινου, το 5,4% της εκτιμώμενης εθνικής κατανομής της Μεσογειακής Φώκιας και το 5% της εκτιμώμενης εθνικής κατανομής για το Ρινοδέλφινο, το Κοινό Δελφίνι και τη θαλάσσια Χελώνα Καρέτα:</w:t>
      </w:r>
    </w:p>
    <w:tbl>
      <w:tblPr>
        <w:tblStyle w:val="4"/>
        <w:tblW w:w="9404" w:type="dxa"/>
        <w:jc w:val="center"/>
        <w:tblLayout w:type="fixed"/>
        <w:tblCellMar>
          <w:top w:w="0" w:type="dxa"/>
          <w:left w:w="108" w:type="dxa"/>
          <w:bottom w:w="0" w:type="dxa"/>
          <w:right w:w="108" w:type="dxa"/>
        </w:tblCellMar>
      </w:tblPr>
      <w:tblGrid>
        <w:gridCol w:w="1175"/>
        <w:gridCol w:w="1176"/>
        <w:gridCol w:w="1175"/>
        <w:gridCol w:w="1176"/>
        <w:gridCol w:w="1175"/>
        <w:gridCol w:w="1176"/>
        <w:gridCol w:w="1175"/>
        <w:gridCol w:w="1176"/>
      </w:tblGrid>
      <w:tr w14:paraId="127A8C5F">
        <w:tblPrEx>
          <w:tblCellMar>
            <w:top w:w="0" w:type="dxa"/>
            <w:left w:w="108" w:type="dxa"/>
            <w:bottom w:w="0" w:type="dxa"/>
            <w:right w:w="108" w:type="dxa"/>
          </w:tblCellMar>
        </w:tblPrEx>
        <w:trPr>
          <w:trHeight w:val="286" w:hRule="atLeast"/>
          <w:jc w:val="center"/>
        </w:trPr>
        <w:tc>
          <w:tcPr>
            <w:tcW w:w="2351" w:type="dxa"/>
            <w:gridSpan w:val="2"/>
            <w:tcBorders>
              <w:top w:val="single" w:color="auto" w:sz="4" w:space="0"/>
              <w:left w:val="single" w:color="auto" w:sz="4" w:space="0"/>
              <w:bottom w:val="single" w:color="auto" w:sz="4" w:space="0"/>
              <w:right w:val="single" w:color="auto" w:sz="4" w:space="0"/>
            </w:tcBorders>
            <w:shd w:val="clear" w:color="000000" w:fill="DDEBF7"/>
            <w:noWrap/>
            <w:vAlign w:val="center"/>
          </w:tcPr>
          <w:p w14:paraId="14902778">
            <w:pPr>
              <w:spacing w:after="0" w:line="259" w:lineRule="auto"/>
              <w:jc w:val="center"/>
              <w:rPr>
                <w:rFonts w:eastAsia="Times New Roman" w:cs="Arial"/>
                <w:b/>
                <w:bCs/>
                <w:color w:val="000000"/>
                <w:kern w:val="0"/>
                <w:sz w:val="20"/>
                <w:szCs w:val="20"/>
                <w:lang w:val="el-GR" w:eastAsia="el-GR"/>
              </w:rPr>
            </w:pPr>
            <w:r>
              <w:rPr>
                <w:rFonts w:eastAsia="Times New Roman" w:cs="Arial"/>
                <w:b/>
                <w:bCs/>
                <w:color w:val="000000"/>
                <w:kern w:val="0"/>
                <w:sz w:val="20"/>
                <w:szCs w:val="20"/>
                <w:lang w:val="el-GR" w:eastAsia="el-GR"/>
              </w:rPr>
              <w:t>Φώκια</w:t>
            </w:r>
          </w:p>
        </w:tc>
        <w:tc>
          <w:tcPr>
            <w:tcW w:w="2351" w:type="dxa"/>
            <w:gridSpan w:val="2"/>
            <w:tcBorders>
              <w:top w:val="single" w:color="auto" w:sz="4" w:space="0"/>
              <w:left w:val="nil"/>
              <w:bottom w:val="single" w:color="auto" w:sz="4" w:space="0"/>
              <w:right w:val="single" w:color="auto" w:sz="4" w:space="0"/>
            </w:tcBorders>
            <w:shd w:val="clear" w:color="000000" w:fill="DDEBF7"/>
            <w:noWrap/>
            <w:vAlign w:val="center"/>
          </w:tcPr>
          <w:p w14:paraId="7946E54E">
            <w:pPr>
              <w:spacing w:after="0" w:line="259" w:lineRule="auto"/>
              <w:jc w:val="center"/>
              <w:rPr>
                <w:rFonts w:eastAsia="Times New Roman" w:cs="Arial"/>
                <w:b/>
                <w:bCs/>
                <w:color w:val="000000"/>
                <w:kern w:val="0"/>
                <w:sz w:val="20"/>
                <w:szCs w:val="20"/>
                <w:lang w:eastAsia="el-GR"/>
              </w:rPr>
            </w:pPr>
            <w:r>
              <w:rPr>
                <w:rFonts w:eastAsia="Times New Roman" w:cs="Arial"/>
                <w:b/>
                <w:bCs/>
                <w:color w:val="000000"/>
                <w:kern w:val="0"/>
                <w:sz w:val="20"/>
                <w:szCs w:val="20"/>
                <w:lang w:eastAsia="el-GR"/>
              </w:rPr>
              <w:t>Φυσητήρες -Ζιφιός</w:t>
            </w:r>
          </w:p>
        </w:tc>
        <w:tc>
          <w:tcPr>
            <w:tcW w:w="2351" w:type="dxa"/>
            <w:gridSpan w:val="2"/>
            <w:tcBorders>
              <w:top w:val="single" w:color="auto" w:sz="4" w:space="0"/>
              <w:left w:val="nil"/>
              <w:bottom w:val="single" w:color="auto" w:sz="4" w:space="0"/>
              <w:right w:val="single" w:color="auto" w:sz="4" w:space="0"/>
            </w:tcBorders>
            <w:shd w:val="clear" w:color="000000" w:fill="DDEBF7"/>
            <w:noWrap/>
            <w:vAlign w:val="center"/>
          </w:tcPr>
          <w:p w14:paraId="2FD7E2D0">
            <w:pPr>
              <w:spacing w:after="0" w:line="259" w:lineRule="auto"/>
              <w:jc w:val="center"/>
              <w:rPr>
                <w:rFonts w:eastAsia="Times New Roman" w:cs="Arial"/>
                <w:b/>
                <w:bCs/>
                <w:color w:val="000000"/>
                <w:kern w:val="0"/>
                <w:sz w:val="20"/>
                <w:szCs w:val="20"/>
                <w:lang w:eastAsia="el-GR"/>
              </w:rPr>
            </w:pPr>
            <w:r>
              <w:rPr>
                <w:rFonts w:eastAsia="Times New Roman" w:cs="Arial"/>
                <w:b/>
                <w:bCs/>
                <w:color w:val="000000"/>
                <w:kern w:val="0"/>
                <w:sz w:val="20"/>
                <w:szCs w:val="20"/>
                <w:lang w:eastAsia="el-GR"/>
              </w:rPr>
              <w:t>Ζωνοδέλφινο</w:t>
            </w:r>
          </w:p>
        </w:tc>
        <w:tc>
          <w:tcPr>
            <w:tcW w:w="2351" w:type="dxa"/>
            <w:gridSpan w:val="2"/>
            <w:tcBorders>
              <w:top w:val="single" w:color="auto" w:sz="4" w:space="0"/>
              <w:left w:val="nil"/>
              <w:bottom w:val="single" w:color="auto" w:sz="4" w:space="0"/>
              <w:right w:val="single" w:color="auto" w:sz="4" w:space="0"/>
            </w:tcBorders>
            <w:shd w:val="clear" w:color="000000" w:fill="DDEBF7"/>
            <w:noWrap/>
            <w:vAlign w:val="center"/>
          </w:tcPr>
          <w:p w14:paraId="08251A9C">
            <w:pPr>
              <w:spacing w:after="0" w:line="259" w:lineRule="auto"/>
              <w:jc w:val="center"/>
              <w:rPr>
                <w:rFonts w:eastAsia="Times New Roman" w:cs="Arial"/>
                <w:b/>
                <w:bCs/>
                <w:color w:val="000000"/>
                <w:kern w:val="0"/>
                <w:sz w:val="20"/>
                <w:szCs w:val="20"/>
                <w:lang w:eastAsia="el-GR"/>
              </w:rPr>
            </w:pPr>
            <w:r>
              <w:rPr>
                <w:rFonts w:eastAsia="Times New Roman" w:cs="Arial"/>
                <w:b/>
                <w:bCs/>
                <w:color w:val="000000"/>
                <w:kern w:val="0"/>
                <w:sz w:val="20"/>
                <w:szCs w:val="20"/>
                <w:lang w:eastAsia="el-GR"/>
              </w:rPr>
              <w:t>Κοινό Δελφίνι -</w:t>
            </w:r>
            <w:r>
              <w:rPr>
                <w:rFonts w:eastAsia="Times New Roman" w:cs="Arial"/>
                <w:b/>
                <w:bCs/>
                <w:color w:val="000000"/>
                <w:kern w:val="0"/>
                <w:sz w:val="20"/>
                <w:szCs w:val="20"/>
                <w:lang w:val="el-GR" w:eastAsia="el-GR"/>
              </w:rPr>
              <w:t xml:space="preserve"> </w:t>
            </w:r>
            <w:r>
              <w:rPr>
                <w:rFonts w:eastAsia="Times New Roman" w:cs="Arial"/>
                <w:b/>
                <w:bCs/>
                <w:color w:val="000000"/>
                <w:kern w:val="0"/>
                <w:sz w:val="20"/>
                <w:szCs w:val="20"/>
                <w:lang w:eastAsia="el-GR"/>
              </w:rPr>
              <w:t>Χελώνα Καρέτα</w:t>
            </w:r>
          </w:p>
        </w:tc>
      </w:tr>
      <w:tr w14:paraId="3C9FECF8">
        <w:tblPrEx>
          <w:tblCellMar>
            <w:top w:w="0" w:type="dxa"/>
            <w:left w:w="108" w:type="dxa"/>
            <w:bottom w:w="0" w:type="dxa"/>
            <w:right w:w="108" w:type="dxa"/>
          </w:tblCellMar>
        </w:tblPrEx>
        <w:trPr>
          <w:trHeight w:val="286" w:hRule="atLeast"/>
          <w:jc w:val="center"/>
        </w:trPr>
        <w:tc>
          <w:tcPr>
            <w:tcW w:w="1175" w:type="dxa"/>
            <w:tcBorders>
              <w:top w:val="nil"/>
              <w:left w:val="single" w:color="auto" w:sz="4" w:space="0"/>
              <w:bottom w:val="single" w:color="auto" w:sz="4" w:space="0"/>
              <w:right w:val="single" w:color="auto" w:sz="4" w:space="0"/>
            </w:tcBorders>
            <w:shd w:val="clear" w:color="auto" w:fill="F2F2F2"/>
            <w:noWrap/>
            <w:vAlign w:val="center"/>
          </w:tcPr>
          <w:p w14:paraId="0267C6BF">
            <w:pPr>
              <w:spacing w:after="0" w:line="259" w:lineRule="auto"/>
              <w:jc w:val="center"/>
              <w:rPr>
                <w:rFonts w:eastAsia="Times New Roman" w:cs="Arial"/>
                <w:color w:val="000000"/>
                <w:kern w:val="0"/>
                <w:sz w:val="20"/>
                <w:szCs w:val="20"/>
                <w:lang w:eastAsia="el-GR"/>
              </w:rPr>
            </w:pPr>
            <w:r>
              <w:rPr>
                <w:rFonts w:eastAsia="Times New Roman" w:cs="Arial"/>
                <w:color w:val="000000"/>
                <w:kern w:val="0"/>
                <w:sz w:val="20"/>
                <w:szCs w:val="20"/>
                <w:lang w:eastAsia="el-GR"/>
              </w:rPr>
              <w:t>Κάλυψη σε km</w:t>
            </w:r>
            <w:r>
              <w:rPr>
                <w:rFonts w:eastAsia="Times New Roman" w:cs="Arial"/>
                <w:color w:val="000000"/>
                <w:kern w:val="0"/>
                <w:sz w:val="20"/>
                <w:szCs w:val="20"/>
                <w:vertAlign w:val="superscript"/>
                <w:lang w:eastAsia="el-GR"/>
              </w:rPr>
              <w:t>2</w:t>
            </w:r>
          </w:p>
        </w:tc>
        <w:tc>
          <w:tcPr>
            <w:tcW w:w="1176" w:type="dxa"/>
            <w:tcBorders>
              <w:top w:val="nil"/>
              <w:left w:val="nil"/>
              <w:bottom w:val="single" w:color="auto" w:sz="4" w:space="0"/>
              <w:right w:val="single" w:color="auto" w:sz="4" w:space="0"/>
            </w:tcBorders>
            <w:shd w:val="clear" w:color="auto" w:fill="F2F2F2"/>
            <w:noWrap/>
            <w:vAlign w:val="center"/>
          </w:tcPr>
          <w:p w14:paraId="624043A2">
            <w:pPr>
              <w:spacing w:after="0" w:line="259" w:lineRule="auto"/>
              <w:jc w:val="center"/>
              <w:rPr>
                <w:rFonts w:eastAsia="Times New Roman" w:cs="Arial"/>
                <w:color w:val="000000"/>
                <w:kern w:val="0"/>
                <w:sz w:val="20"/>
                <w:szCs w:val="20"/>
                <w:lang w:eastAsia="el-GR"/>
              </w:rPr>
            </w:pPr>
            <w:r>
              <w:rPr>
                <w:rFonts w:eastAsia="Times New Roman" w:cs="Arial"/>
                <w:color w:val="000000"/>
                <w:kern w:val="0"/>
                <w:sz w:val="20"/>
                <w:szCs w:val="20"/>
                <w:lang w:eastAsia="el-GR"/>
              </w:rPr>
              <w:t>% του AOO</w:t>
            </w:r>
          </w:p>
        </w:tc>
        <w:tc>
          <w:tcPr>
            <w:tcW w:w="1175" w:type="dxa"/>
            <w:tcBorders>
              <w:top w:val="nil"/>
              <w:left w:val="nil"/>
              <w:bottom w:val="single" w:color="auto" w:sz="4" w:space="0"/>
              <w:right w:val="single" w:color="auto" w:sz="4" w:space="0"/>
            </w:tcBorders>
            <w:shd w:val="clear" w:color="auto" w:fill="F2F2F2"/>
            <w:noWrap/>
            <w:vAlign w:val="center"/>
          </w:tcPr>
          <w:p w14:paraId="566F8B2C">
            <w:pPr>
              <w:spacing w:after="0" w:line="259" w:lineRule="auto"/>
              <w:jc w:val="center"/>
              <w:rPr>
                <w:rFonts w:eastAsia="Times New Roman" w:cs="Arial"/>
                <w:color w:val="000000"/>
                <w:kern w:val="0"/>
                <w:sz w:val="20"/>
                <w:szCs w:val="20"/>
                <w:lang w:eastAsia="el-GR"/>
              </w:rPr>
            </w:pPr>
            <w:r>
              <w:rPr>
                <w:rFonts w:eastAsia="Times New Roman" w:cs="Arial"/>
                <w:color w:val="000000"/>
                <w:kern w:val="0"/>
                <w:sz w:val="20"/>
                <w:szCs w:val="20"/>
                <w:lang w:eastAsia="el-GR"/>
              </w:rPr>
              <w:t>Κάλυψη σε km</w:t>
            </w:r>
            <w:r>
              <w:rPr>
                <w:rFonts w:eastAsia="Times New Roman" w:cs="Arial"/>
                <w:color w:val="000000"/>
                <w:kern w:val="0"/>
                <w:sz w:val="20"/>
                <w:szCs w:val="20"/>
                <w:vertAlign w:val="superscript"/>
                <w:lang w:eastAsia="el-GR"/>
              </w:rPr>
              <w:t>2</w:t>
            </w:r>
          </w:p>
        </w:tc>
        <w:tc>
          <w:tcPr>
            <w:tcW w:w="1176" w:type="dxa"/>
            <w:tcBorders>
              <w:top w:val="nil"/>
              <w:left w:val="nil"/>
              <w:bottom w:val="single" w:color="auto" w:sz="4" w:space="0"/>
              <w:right w:val="single" w:color="auto" w:sz="4" w:space="0"/>
            </w:tcBorders>
            <w:shd w:val="clear" w:color="auto" w:fill="F2F2F2"/>
            <w:noWrap/>
            <w:vAlign w:val="center"/>
          </w:tcPr>
          <w:p w14:paraId="103B085B">
            <w:pPr>
              <w:spacing w:after="0" w:line="259" w:lineRule="auto"/>
              <w:jc w:val="center"/>
              <w:rPr>
                <w:rFonts w:eastAsia="Times New Roman" w:cs="Arial"/>
                <w:color w:val="000000"/>
                <w:kern w:val="0"/>
                <w:sz w:val="20"/>
                <w:szCs w:val="20"/>
                <w:lang w:eastAsia="el-GR"/>
              </w:rPr>
            </w:pPr>
            <w:r>
              <w:rPr>
                <w:rFonts w:eastAsia="Times New Roman" w:cs="Arial"/>
                <w:color w:val="000000"/>
                <w:kern w:val="0"/>
                <w:sz w:val="20"/>
                <w:szCs w:val="20"/>
                <w:lang w:eastAsia="el-GR"/>
              </w:rPr>
              <w:t>% του AOO</w:t>
            </w:r>
          </w:p>
        </w:tc>
        <w:tc>
          <w:tcPr>
            <w:tcW w:w="1175" w:type="dxa"/>
            <w:tcBorders>
              <w:top w:val="nil"/>
              <w:left w:val="nil"/>
              <w:bottom w:val="single" w:color="auto" w:sz="4" w:space="0"/>
              <w:right w:val="single" w:color="auto" w:sz="4" w:space="0"/>
            </w:tcBorders>
            <w:shd w:val="clear" w:color="auto" w:fill="F2F2F2"/>
            <w:noWrap/>
            <w:vAlign w:val="center"/>
          </w:tcPr>
          <w:p w14:paraId="43BC37B7">
            <w:pPr>
              <w:spacing w:after="0" w:line="259" w:lineRule="auto"/>
              <w:jc w:val="center"/>
              <w:rPr>
                <w:rFonts w:eastAsia="Times New Roman" w:cs="Arial"/>
                <w:color w:val="000000"/>
                <w:kern w:val="0"/>
                <w:sz w:val="20"/>
                <w:szCs w:val="20"/>
                <w:lang w:eastAsia="el-GR"/>
              </w:rPr>
            </w:pPr>
            <w:r>
              <w:rPr>
                <w:rFonts w:eastAsia="Times New Roman" w:cs="Arial"/>
                <w:color w:val="000000"/>
                <w:kern w:val="0"/>
                <w:sz w:val="20"/>
                <w:szCs w:val="20"/>
                <w:lang w:eastAsia="el-GR"/>
              </w:rPr>
              <w:t>Κάλυψη σε km</w:t>
            </w:r>
            <w:r>
              <w:rPr>
                <w:rFonts w:eastAsia="Times New Roman" w:cs="Arial"/>
                <w:color w:val="000000"/>
                <w:kern w:val="0"/>
                <w:sz w:val="20"/>
                <w:szCs w:val="20"/>
                <w:vertAlign w:val="superscript"/>
                <w:lang w:eastAsia="el-GR"/>
              </w:rPr>
              <w:t>2</w:t>
            </w:r>
          </w:p>
        </w:tc>
        <w:tc>
          <w:tcPr>
            <w:tcW w:w="1176" w:type="dxa"/>
            <w:tcBorders>
              <w:top w:val="nil"/>
              <w:left w:val="nil"/>
              <w:bottom w:val="single" w:color="auto" w:sz="4" w:space="0"/>
              <w:right w:val="single" w:color="auto" w:sz="4" w:space="0"/>
            </w:tcBorders>
            <w:shd w:val="clear" w:color="auto" w:fill="F2F2F2"/>
            <w:noWrap/>
            <w:vAlign w:val="center"/>
          </w:tcPr>
          <w:p w14:paraId="26B24B36">
            <w:pPr>
              <w:spacing w:after="0" w:line="259" w:lineRule="auto"/>
              <w:jc w:val="center"/>
              <w:rPr>
                <w:rFonts w:eastAsia="Times New Roman" w:cs="Arial"/>
                <w:color w:val="000000"/>
                <w:kern w:val="0"/>
                <w:sz w:val="20"/>
                <w:szCs w:val="20"/>
                <w:lang w:eastAsia="el-GR"/>
              </w:rPr>
            </w:pPr>
            <w:r>
              <w:rPr>
                <w:rFonts w:eastAsia="Times New Roman" w:cs="Arial"/>
                <w:color w:val="000000"/>
                <w:kern w:val="0"/>
                <w:sz w:val="20"/>
                <w:szCs w:val="20"/>
                <w:lang w:eastAsia="el-GR"/>
              </w:rPr>
              <w:t>% του AOO</w:t>
            </w:r>
          </w:p>
        </w:tc>
        <w:tc>
          <w:tcPr>
            <w:tcW w:w="1175" w:type="dxa"/>
            <w:tcBorders>
              <w:top w:val="nil"/>
              <w:left w:val="nil"/>
              <w:bottom w:val="single" w:color="auto" w:sz="4" w:space="0"/>
              <w:right w:val="single" w:color="auto" w:sz="4" w:space="0"/>
            </w:tcBorders>
            <w:shd w:val="clear" w:color="auto" w:fill="F2F2F2"/>
            <w:noWrap/>
            <w:vAlign w:val="center"/>
          </w:tcPr>
          <w:p w14:paraId="20FC2764">
            <w:pPr>
              <w:spacing w:after="0" w:line="259" w:lineRule="auto"/>
              <w:jc w:val="center"/>
              <w:rPr>
                <w:rFonts w:eastAsia="Times New Roman" w:cs="Arial"/>
                <w:color w:val="000000"/>
                <w:kern w:val="0"/>
                <w:sz w:val="20"/>
                <w:szCs w:val="20"/>
                <w:lang w:eastAsia="el-GR"/>
              </w:rPr>
            </w:pPr>
            <w:r>
              <w:rPr>
                <w:rFonts w:eastAsia="Times New Roman" w:cs="Arial"/>
                <w:color w:val="000000"/>
                <w:kern w:val="0"/>
                <w:sz w:val="20"/>
                <w:szCs w:val="20"/>
                <w:lang w:eastAsia="el-GR"/>
              </w:rPr>
              <w:t>Κάλυψη σε km</w:t>
            </w:r>
            <w:r>
              <w:rPr>
                <w:rFonts w:eastAsia="Times New Roman" w:cs="Arial"/>
                <w:color w:val="000000"/>
                <w:kern w:val="0"/>
                <w:sz w:val="20"/>
                <w:szCs w:val="20"/>
                <w:vertAlign w:val="superscript"/>
                <w:lang w:eastAsia="el-GR"/>
              </w:rPr>
              <w:t>2</w:t>
            </w:r>
          </w:p>
        </w:tc>
        <w:tc>
          <w:tcPr>
            <w:tcW w:w="1176" w:type="dxa"/>
            <w:tcBorders>
              <w:top w:val="nil"/>
              <w:left w:val="nil"/>
              <w:bottom w:val="single" w:color="auto" w:sz="4" w:space="0"/>
              <w:right w:val="single" w:color="auto" w:sz="4" w:space="0"/>
            </w:tcBorders>
            <w:shd w:val="clear" w:color="auto" w:fill="F2F2F2"/>
            <w:noWrap/>
            <w:vAlign w:val="center"/>
          </w:tcPr>
          <w:p w14:paraId="047FF9D4">
            <w:pPr>
              <w:spacing w:after="0" w:line="259" w:lineRule="auto"/>
              <w:jc w:val="center"/>
              <w:rPr>
                <w:rFonts w:eastAsia="Times New Roman" w:cs="Arial"/>
                <w:color w:val="000000"/>
                <w:kern w:val="0"/>
                <w:sz w:val="20"/>
                <w:szCs w:val="20"/>
                <w:lang w:eastAsia="el-GR"/>
              </w:rPr>
            </w:pPr>
            <w:r>
              <w:rPr>
                <w:rFonts w:eastAsia="Times New Roman" w:cs="Arial"/>
                <w:color w:val="000000"/>
                <w:kern w:val="0"/>
                <w:sz w:val="20"/>
                <w:szCs w:val="20"/>
                <w:lang w:eastAsia="el-GR"/>
              </w:rPr>
              <w:t>% του AOO</w:t>
            </w:r>
          </w:p>
        </w:tc>
      </w:tr>
      <w:tr w14:paraId="232263BE">
        <w:tblPrEx>
          <w:tblCellMar>
            <w:top w:w="0" w:type="dxa"/>
            <w:left w:w="108" w:type="dxa"/>
            <w:bottom w:w="0" w:type="dxa"/>
            <w:right w:w="108" w:type="dxa"/>
          </w:tblCellMar>
        </w:tblPrEx>
        <w:trPr>
          <w:trHeight w:val="286" w:hRule="atLeast"/>
          <w:jc w:val="center"/>
        </w:trPr>
        <w:tc>
          <w:tcPr>
            <w:tcW w:w="1175" w:type="dxa"/>
            <w:tcBorders>
              <w:top w:val="nil"/>
              <w:left w:val="single" w:color="auto" w:sz="4" w:space="0"/>
              <w:bottom w:val="single" w:color="auto" w:sz="4" w:space="0"/>
              <w:right w:val="single" w:color="auto" w:sz="4" w:space="0"/>
            </w:tcBorders>
            <w:noWrap/>
            <w:vAlign w:val="bottom"/>
          </w:tcPr>
          <w:p w14:paraId="5E52AD59">
            <w:pPr>
              <w:spacing w:after="0" w:line="259" w:lineRule="auto"/>
              <w:jc w:val="center"/>
              <w:rPr>
                <w:rFonts w:eastAsia="Times New Roman" w:cs="Arial"/>
                <w:color w:val="000000"/>
                <w:kern w:val="0"/>
                <w:sz w:val="20"/>
                <w:szCs w:val="20"/>
                <w:lang w:eastAsia="el-GR"/>
              </w:rPr>
            </w:pPr>
            <w:r>
              <w:rPr>
                <w:rFonts w:eastAsia="Times New Roman" w:cs="Arial"/>
                <w:color w:val="000000"/>
                <w:kern w:val="0"/>
                <w:sz w:val="20"/>
                <w:szCs w:val="20"/>
                <w:lang w:eastAsia="el-GR"/>
              </w:rPr>
              <w:t>2909,36</w:t>
            </w:r>
          </w:p>
        </w:tc>
        <w:tc>
          <w:tcPr>
            <w:tcW w:w="1176" w:type="dxa"/>
            <w:tcBorders>
              <w:top w:val="nil"/>
              <w:left w:val="nil"/>
              <w:bottom w:val="single" w:color="auto" w:sz="4" w:space="0"/>
              <w:right w:val="single" w:color="auto" w:sz="4" w:space="0"/>
            </w:tcBorders>
            <w:noWrap/>
            <w:vAlign w:val="bottom"/>
          </w:tcPr>
          <w:p w14:paraId="24D12592">
            <w:pPr>
              <w:spacing w:after="0" w:line="259" w:lineRule="auto"/>
              <w:jc w:val="center"/>
              <w:rPr>
                <w:rFonts w:eastAsia="Times New Roman" w:cs="Arial"/>
                <w:color w:val="000000"/>
                <w:kern w:val="0"/>
                <w:sz w:val="20"/>
                <w:szCs w:val="20"/>
                <w:lang w:eastAsia="el-GR"/>
              </w:rPr>
            </w:pPr>
            <w:r>
              <w:rPr>
                <w:rFonts w:eastAsia="Times New Roman" w:cs="Arial"/>
                <w:color w:val="000000"/>
                <w:kern w:val="0"/>
                <w:sz w:val="20"/>
                <w:szCs w:val="20"/>
                <w:lang w:eastAsia="el-GR"/>
              </w:rPr>
              <w:t>5,41</w:t>
            </w:r>
          </w:p>
        </w:tc>
        <w:tc>
          <w:tcPr>
            <w:tcW w:w="1175" w:type="dxa"/>
            <w:tcBorders>
              <w:top w:val="nil"/>
              <w:left w:val="nil"/>
              <w:bottom w:val="single" w:color="auto" w:sz="4" w:space="0"/>
              <w:right w:val="single" w:color="auto" w:sz="4" w:space="0"/>
            </w:tcBorders>
            <w:noWrap/>
            <w:vAlign w:val="bottom"/>
          </w:tcPr>
          <w:p w14:paraId="069B1DA5">
            <w:pPr>
              <w:spacing w:after="0" w:line="259" w:lineRule="auto"/>
              <w:jc w:val="center"/>
              <w:rPr>
                <w:rFonts w:eastAsia="Times New Roman" w:cs="Arial"/>
                <w:color w:val="000000"/>
                <w:kern w:val="0"/>
                <w:sz w:val="20"/>
                <w:szCs w:val="20"/>
                <w:lang w:eastAsia="el-GR"/>
              </w:rPr>
            </w:pPr>
            <w:r>
              <w:rPr>
                <w:rFonts w:eastAsia="Times New Roman" w:cs="Arial"/>
                <w:color w:val="000000"/>
                <w:kern w:val="0"/>
                <w:sz w:val="20"/>
                <w:szCs w:val="20"/>
                <w:lang w:eastAsia="el-GR"/>
              </w:rPr>
              <w:t>1508,98</w:t>
            </w:r>
          </w:p>
        </w:tc>
        <w:tc>
          <w:tcPr>
            <w:tcW w:w="1176" w:type="dxa"/>
            <w:tcBorders>
              <w:top w:val="nil"/>
              <w:left w:val="nil"/>
              <w:bottom w:val="single" w:color="auto" w:sz="4" w:space="0"/>
              <w:right w:val="single" w:color="auto" w:sz="4" w:space="0"/>
            </w:tcBorders>
            <w:noWrap/>
            <w:vAlign w:val="bottom"/>
          </w:tcPr>
          <w:p w14:paraId="07CD00FC">
            <w:pPr>
              <w:spacing w:after="0" w:line="259" w:lineRule="auto"/>
              <w:jc w:val="center"/>
              <w:rPr>
                <w:rFonts w:eastAsia="Times New Roman" w:cs="Arial"/>
                <w:color w:val="000000"/>
                <w:kern w:val="0"/>
                <w:sz w:val="20"/>
                <w:szCs w:val="20"/>
                <w:lang w:eastAsia="el-GR"/>
              </w:rPr>
            </w:pPr>
            <w:r>
              <w:rPr>
                <w:rFonts w:eastAsia="Times New Roman" w:cs="Arial"/>
                <w:color w:val="000000"/>
                <w:kern w:val="0"/>
                <w:sz w:val="20"/>
                <w:szCs w:val="20"/>
                <w:lang w:eastAsia="el-GR"/>
              </w:rPr>
              <w:t>5,06</w:t>
            </w:r>
          </w:p>
        </w:tc>
        <w:tc>
          <w:tcPr>
            <w:tcW w:w="1175" w:type="dxa"/>
            <w:tcBorders>
              <w:top w:val="nil"/>
              <w:left w:val="nil"/>
              <w:bottom w:val="single" w:color="auto" w:sz="4" w:space="0"/>
              <w:right w:val="single" w:color="auto" w:sz="4" w:space="0"/>
            </w:tcBorders>
            <w:noWrap/>
            <w:vAlign w:val="bottom"/>
          </w:tcPr>
          <w:p w14:paraId="5EAB864E">
            <w:pPr>
              <w:spacing w:after="0" w:line="259" w:lineRule="auto"/>
              <w:jc w:val="center"/>
              <w:rPr>
                <w:rFonts w:eastAsia="Times New Roman" w:cs="Arial"/>
                <w:color w:val="000000"/>
                <w:kern w:val="0"/>
                <w:sz w:val="20"/>
                <w:szCs w:val="20"/>
                <w:lang w:eastAsia="el-GR"/>
              </w:rPr>
            </w:pPr>
            <w:r>
              <w:rPr>
                <w:rFonts w:eastAsia="Times New Roman" w:cs="Arial"/>
                <w:color w:val="000000"/>
                <w:kern w:val="0"/>
                <w:sz w:val="20"/>
                <w:szCs w:val="20"/>
                <w:lang w:eastAsia="el-GR"/>
              </w:rPr>
              <w:t>5713,21</w:t>
            </w:r>
          </w:p>
        </w:tc>
        <w:tc>
          <w:tcPr>
            <w:tcW w:w="1176" w:type="dxa"/>
            <w:tcBorders>
              <w:top w:val="nil"/>
              <w:left w:val="nil"/>
              <w:bottom w:val="single" w:color="auto" w:sz="4" w:space="0"/>
              <w:right w:val="single" w:color="auto" w:sz="4" w:space="0"/>
            </w:tcBorders>
            <w:noWrap/>
            <w:vAlign w:val="bottom"/>
          </w:tcPr>
          <w:p w14:paraId="754C5877">
            <w:pPr>
              <w:spacing w:after="0" w:line="259" w:lineRule="auto"/>
              <w:jc w:val="center"/>
              <w:rPr>
                <w:rFonts w:eastAsia="Times New Roman" w:cs="Arial"/>
                <w:color w:val="000000"/>
                <w:kern w:val="0"/>
                <w:sz w:val="20"/>
                <w:szCs w:val="20"/>
                <w:lang w:eastAsia="el-GR"/>
              </w:rPr>
            </w:pPr>
            <w:r>
              <w:rPr>
                <w:rFonts w:eastAsia="Times New Roman" w:cs="Arial"/>
                <w:color w:val="000000"/>
                <w:kern w:val="0"/>
                <w:sz w:val="20"/>
                <w:szCs w:val="20"/>
                <w:lang w:eastAsia="el-GR"/>
              </w:rPr>
              <w:t>9,31</w:t>
            </w:r>
          </w:p>
        </w:tc>
        <w:tc>
          <w:tcPr>
            <w:tcW w:w="1175" w:type="dxa"/>
            <w:tcBorders>
              <w:top w:val="nil"/>
              <w:left w:val="nil"/>
              <w:bottom w:val="single" w:color="auto" w:sz="4" w:space="0"/>
              <w:right w:val="single" w:color="auto" w:sz="4" w:space="0"/>
            </w:tcBorders>
            <w:noWrap/>
            <w:vAlign w:val="bottom"/>
          </w:tcPr>
          <w:p w14:paraId="0CEAD049">
            <w:pPr>
              <w:spacing w:after="0" w:line="259" w:lineRule="auto"/>
              <w:jc w:val="center"/>
              <w:rPr>
                <w:rFonts w:eastAsia="Times New Roman" w:cs="Arial"/>
                <w:color w:val="000000"/>
                <w:kern w:val="0"/>
                <w:sz w:val="20"/>
                <w:szCs w:val="20"/>
                <w:lang w:eastAsia="el-GR"/>
              </w:rPr>
            </w:pPr>
            <w:r>
              <w:rPr>
                <w:rFonts w:eastAsia="Times New Roman" w:cs="Arial"/>
                <w:color w:val="000000"/>
                <w:kern w:val="0"/>
                <w:sz w:val="20"/>
                <w:szCs w:val="20"/>
                <w:lang w:eastAsia="el-GR"/>
              </w:rPr>
              <w:t>2892,89</w:t>
            </w:r>
          </w:p>
        </w:tc>
        <w:tc>
          <w:tcPr>
            <w:tcW w:w="1176" w:type="dxa"/>
            <w:tcBorders>
              <w:top w:val="nil"/>
              <w:left w:val="nil"/>
              <w:bottom w:val="single" w:color="auto" w:sz="4" w:space="0"/>
              <w:right w:val="single" w:color="auto" w:sz="4" w:space="0"/>
            </w:tcBorders>
            <w:noWrap/>
            <w:vAlign w:val="bottom"/>
          </w:tcPr>
          <w:p w14:paraId="27452829">
            <w:pPr>
              <w:spacing w:after="0" w:line="259" w:lineRule="auto"/>
              <w:jc w:val="center"/>
              <w:rPr>
                <w:rFonts w:eastAsia="Times New Roman" w:cs="Arial"/>
                <w:color w:val="000000"/>
                <w:kern w:val="0"/>
                <w:sz w:val="20"/>
                <w:szCs w:val="20"/>
                <w:lang w:eastAsia="el-GR"/>
              </w:rPr>
            </w:pPr>
            <w:r>
              <w:rPr>
                <w:rFonts w:eastAsia="Times New Roman" w:cs="Arial"/>
                <w:color w:val="000000"/>
                <w:kern w:val="0"/>
                <w:sz w:val="20"/>
                <w:szCs w:val="20"/>
                <w:lang w:eastAsia="el-GR"/>
              </w:rPr>
              <w:t>5,19</w:t>
            </w:r>
          </w:p>
        </w:tc>
      </w:tr>
    </w:tbl>
    <w:p w14:paraId="7959485C">
      <w:pPr>
        <w:spacing w:line="259" w:lineRule="auto"/>
        <w:rPr>
          <w:rFonts w:eastAsia="Times New Roman" w:cs="Arial"/>
          <w:color w:val="000000"/>
          <w:kern w:val="0"/>
          <w:sz w:val="22"/>
          <w:szCs w:val="22"/>
          <w:lang w:val="el-GR" w:eastAsia="el-GR"/>
        </w:rPr>
      </w:pPr>
    </w:p>
    <w:p w14:paraId="7139F78A">
      <w:pPr>
        <w:pStyle w:val="26"/>
        <w:spacing w:line="259" w:lineRule="auto"/>
        <w:rPr>
          <w:rFonts w:ascii="Aptos" w:hAnsi="Aptos" w:cs="Arial"/>
          <w:color w:val="1D2228"/>
          <w:sz w:val="22"/>
          <w:szCs w:val="22"/>
          <w:lang w:val="el-GR"/>
        </w:rPr>
      </w:pPr>
      <w:r>
        <w:rPr>
          <w:rFonts w:ascii="Aptos" w:hAnsi="Aptos" w:cs="Arial"/>
          <w:color w:val="1D2228"/>
          <w:sz w:val="22"/>
          <w:szCs w:val="22"/>
          <w:lang w:val="el-GR"/>
        </w:rPr>
        <w:t>Επίσης περιλαμβάνει νησιά, στα οποία απαντώνται πολλά ενδημικά είδη χλωρίδας και πανίδας που περιλαμβάνονται σε εθνικές και διεθνείς λίστες προστασίας, με σημαντικότερα 13 ενδημικά είδη φυτών, 10 είδη ενδημικών και στενοενδημικών ασπόνδυλων και 6 taxa ενδημικών ερπετών.</w:t>
      </w:r>
    </w:p>
    <w:p w14:paraId="57DA6EBB">
      <w:pPr>
        <w:pStyle w:val="26"/>
        <w:spacing w:after="0" w:line="259" w:lineRule="auto"/>
        <w:rPr>
          <w:rFonts w:ascii="Aptos" w:hAnsi="Aptos" w:cs="Arial"/>
          <w:sz w:val="22"/>
          <w:szCs w:val="22"/>
        </w:rPr>
      </w:pPr>
      <w:r>
        <w:rPr>
          <w:rFonts w:ascii="Aptos" w:hAnsi="Aptos" w:cs="Arial"/>
          <w:color w:val="1D2228"/>
          <w:sz w:val="22"/>
          <w:szCs w:val="22"/>
          <w:lang w:val="el-GR"/>
        </w:rPr>
        <w:t>Αντίστοιχα, στ</w:t>
      </w:r>
      <w:r>
        <w:rPr>
          <w:rFonts w:ascii="Aptos" w:hAnsi="Aptos" w:cs="Arial"/>
          <w:color w:val="1D2228"/>
          <w:sz w:val="22"/>
          <w:szCs w:val="22"/>
        </w:rPr>
        <w:t xml:space="preserve">ο </w:t>
      </w:r>
      <w:r>
        <w:rPr>
          <w:rFonts w:ascii="Aptos" w:hAnsi="Aptos" w:cs="Arial"/>
          <w:sz w:val="22"/>
          <w:szCs w:val="22"/>
          <w:lang w:val="el-GR"/>
        </w:rPr>
        <w:t>Εθνικό Θαλάσσιο Πάρκο Ιονίου</w:t>
      </w:r>
      <w:r>
        <w:rPr>
          <w:rFonts w:ascii="Aptos" w:hAnsi="Aptos" w:cs="Arial"/>
          <w:sz w:val="22"/>
          <w:szCs w:val="22"/>
        </w:rPr>
        <w:t xml:space="preserve"> περιλαμβάνονται: </w:t>
      </w:r>
    </w:p>
    <w:p w14:paraId="71D6D0AD">
      <w:pPr>
        <w:pStyle w:val="26"/>
        <w:numPr>
          <w:ilvl w:val="0"/>
          <w:numId w:val="6"/>
        </w:numPr>
        <w:spacing w:after="0" w:line="259" w:lineRule="auto"/>
        <w:rPr>
          <w:rFonts w:ascii="Aptos" w:hAnsi="Aptos" w:cs="Arial"/>
          <w:sz w:val="22"/>
          <w:szCs w:val="22"/>
        </w:rPr>
      </w:pPr>
      <w:r>
        <w:rPr>
          <w:rFonts w:ascii="Aptos" w:hAnsi="Aptos" w:cs="Arial"/>
          <w:sz w:val="22"/>
          <w:szCs w:val="22"/>
        </w:rPr>
        <w:t xml:space="preserve">το 57% του πυρήνα κατανομής του φυσητήρα εντός των χωρικών υδάτων, </w:t>
      </w:r>
    </w:p>
    <w:p w14:paraId="59106765">
      <w:pPr>
        <w:pStyle w:val="26"/>
        <w:numPr>
          <w:ilvl w:val="0"/>
          <w:numId w:val="6"/>
        </w:numPr>
        <w:spacing w:after="0" w:line="259" w:lineRule="auto"/>
        <w:rPr>
          <w:rFonts w:ascii="Aptos" w:hAnsi="Aptos" w:cs="Arial"/>
          <w:sz w:val="22"/>
          <w:szCs w:val="22"/>
        </w:rPr>
      </w:pPr>
      <w:r>
        <w:rPr>
          <w:rFonts w:ascii="Aptos" w:hAnsi="Aptos" w:cs="Arial"/>
          <w:sz w:val="22"/>
          <w:szCs w:val="22"/>
        </w:rPr>
        <w:t>το 53% του πυρήνα κατανομής του ζιφιού,</w:t>
      </w:r>
    </w:p>
    <w:p w14:paraId="655B72EB">
      <w:pPr>
        <w:pStyle w:val="26"/>
        <w:numPr>
          <w:ilvl w:val="0"/>
          <w:numId w:val="6"/>
        </w:numPr>
        <w:spacing w:after="0" w:line="259" w:lineRule="auto"/>
        <w:rPr>
          <w:rFonts w:ascii="Aptos" w:hAnsi="Aptos" w:cs="Arial"/>
          <w:sz w:val="22"/>
          <w:szCs w:val="22"/>
        </w:rPr>
      </w:pPr>
      <w:r>
        <w:rPr>
          <w:rFonts w:ascii="Aptos" w:hAnsi="Aptos" w:cs="Arial"/>
          <w:sz w:val="22"/>
          <w:szCs w:val="22"/>
        </w:rPr>
        <w:t>το 67% του πυρήνα κατανομής του ζωνοδέλφινου,</w:t>
      </w:r>
    </w:p>
    <w:p w14:paraId="00548A6D">
      <w:pPr>
        <w:pStyle w:val="26"/>
        <w:numPr>
          <w:ilvl w:val="0"/>
          <w:numId w:val="6"/>
        </w:numPr>
        <w:spacing w:after="0" w:line="259" w:lineRule="auto"/>
        <w:rPr>
          <w:rFonts w:ascii="Aptos" w:hAnsi="Aptos" w:cs="Arial"/>
          <w:sz w:val="22"/>
          <w:szCs w:val="22"/>
        </w:rPr>
      </w:pPr>
      <w:r>
        <w:rPr>
          <w:rFonts w:ascii="Aptos" w:hAnsi="Aptos" w:cs="Arial"/>
          <w:sz w:val="22"/>
          <w:szCs w:val="22"/>
        </w:rPr>
        <w:t>το 14% του πυρήνα κατανομής ρινοδέλφινου,</w:t>
      </w:r>
    </w:p>
    <w:p w14:paraId="464F1E09">
      <w:pPr>
        <w:pStyle w:val="26"/>
        <w:numPr>
          <w:ilvl w:val="0"/>
          <w:numId w:val="6"/>
        </w:numPr>
        <w:spacing w:line="259" w:lineRule="auto"/>
        <w:rPr>
          <w:rFonts w:ascii="Aptos" w:hAnsi="Aptos" w:cs="Arial"/>
          <w:sz w:val="22"/>
          <w:szCs w:val="22"/>
        </w:rPr>
      </w:pPr>
      <w:r>
        <w:rPr>
          <w:rFonts w:ascii="Aptos" w:hAnsi="Aptos" w:cs="Arial"/>
          <w:sz w:val="22"/>
          <w:szCs w:val="22"/>
        </w:rPr>
        <w:t>άλλα σημαντικά είδη δελφινιών όπως το σταχτοδέλφινο και το κοινό δελφίνι,</w:t>
      </w:r>
    </w:p>
    <w:p w14:paraId="64402014">
      <w:pPr>
        <w:pStyle w:val="26"/>
        <w:spacing w:line="259" w:lineRule="auto"/>
        <w:rPr>
          <w:rFonts w:ascii="Aptos" w:hAnsi="Aptos" w:cs="Arial"/>
          <w:color w:val="1D2228"/>
          <w:sz w:val="22"/>
          <w:szCs w:val="22"/>
          <w:lang w:val="el-GR"/>
        </w:rPr>
      </w:pPr>
      <w:r>
        <w:rPr>
          <w:rFonts w:ascii="Aptos" w:hAnsi="Aptos" w:cs="Arial"/>
          <w:color w:val="1D2228"/>
          <w:sz w:val="22"/>
          <w:szCs w:val="22"/>
          <w:lang w:val="el-GR"/>
        </w:rPr>
        <w:t>Τα ανωτέρω είδη θαλάσσιων θηλαστικών περιλαμβάνονται στη Σημαντική Περιοχή Θαλάσσιων Θηλαστικών της Ελληνικής Τάφρου, στην Οικολογικά και Βιολογικά Σημαντική Περιοχή της Ελληνικής Τάφρου (Hellenic Trench EBSA), στην «Περιοχή Ειδικής Σημασίας Νοτιοδυτικής Κρήτης και Ελληνικής Τάφρου» της Διεθνούς Συμφωνίας ACCOBAMS.</w:t>
      </w:r>
    </w:p>
    <w:p w14:paraId="09129C86">
      <w:pPr>
        <w:pStyle w:val="26"/>
        <w:spacing w:line="259" w:lineRule="auto"/>
        <w:rPr>
          <w:rFonts w:ascii="Aptos" w:hAnsi="Aptos" w:cs="Arial"/>
          <w:color w:val="1D2228"/>
          <w:sz w:val="22"/>
          <w:szCs w:val="22"/>
          <w:lang w:val="el-GR"/>
        </w:rPr>
      </w:pPr>
    </w:p>
    <w:p w14:paraId="7D396A83">
      <w:pPr>
        <w:pStyle w:val="26"/>
        <w:spacing w:line="259" w:lineRule="auto"/>
        <w:rPr>
          <w:rFonts w:ascii="Aptos" w:hAnsi="Aptos" w:cs="Arial"/>
          <w:color w:val="1D2228"/>
          <w:sz w:val="22"/>
          <w:szCs w:val="22"/>
          <w:lang w:val="el-GR"/>
        </w:rPr>
      </w:pPr>
    </w:p>
    <w:p w14:paraId="15B59D5D">
      <w:pPr>
        <w:pStyle w:val="26"/>
        <w:spacing w:line="259" w:lineRule="auto"/>
        <w:rPr>
          <w:rFonts w:ascii="Aptos" w:hAnsi="Aptos" w:cs="Arial"/>
          <w:color w:val="1D2228"/>
          <w:sz w:val="22"/>
          <w:szCs w:val="22"/>
          <w:lang w:val="el-GR"/>
        </w:rPr>
      </w:pPr>
    </w:p>
    <w:p w14:paraId="15A4A67F">
      <w:pPr>
        <w:pStyle w:val="26"/>
        <w:spacing w:line="259" w:lineRule="auto"/>
        <w:rPr>
          <w:rFonts w:ascii="Aptos" w:hAnsi="Aptos" w:cs="Arial"/>
          <w:color w:val="1D2228"/>
          <w:sz w:val="22"/>
          <w:szCs w:val="22"/>
          <w:lang w:val="el-GR"/>
        </w:rPr>
      </w:pPr>
    </w:p>
    <w:p w14:paraId="0B1B7B35">
      <w:pPr>
        <w:pStyle w:val="26"/>
        <w:spacing w:after="0" w:line="259" w:lineRule="auto"/>
        <w:rPr>
          <w:rFonts w:ascii="Aptos" w:hAnsi="Aptos" w:eastAsia="Arial Narrow" w:cs="Arial"/>
          <w:sz w:val="22"/>
          <w:szCs w:val="22"/>
        </w:rPr>
      </w:pPr>
      <w:r>
        <w:rPr>
          <w:rFonts w:ascii="Aptos" w:hAnsi="Aptos" w:eastAsia="Arial Narrow" w:cs="Arial"/>
          <w:sz w:val="22"/>
          <w:szCs w:val="22"/>
        </w:rPr>
        <w:t xml:space="preserve">Στο </w:t>
      </w:r>
      <w:r>
        <w:rPr>
          <w:rFonts w:ascii="Aptos" w:hAnsi="Aptos" w:cs="Arial"/>
          <w:sz w:val="22"/>
          <w:szCs w:val="22"/>
          <w:lang w:val="el-GR"/>
        </w:rPr>
        <w:t>Εθνικό Θαλάσσιο Πάρκο Ιονίου</w:t>
      </w:r>
      <w:r>
        <w:rPr>
          <w:rFonts w:ascii="Aptos" w:hAnsi="Aptos" w:cs="Arial"/>
          <w:sz w:val="22"/>
          <w:szCs w:val="22"/>
        </w:rPr>
        <w:t xml:space="preserve"> </w:t>
      </w:r>
      <w:r>
        <w:rPr>
          <w:rFonts w:ascii="Aptos" w:hAnsi="Aptos" w:eastAsia="Arial Narrow" w:cs="Arial"/>
          <w:sz w:val="22"/>
          <w:szCs w:val="22"/>
        </w:rPr>
        <w:t xml:space="preserve">περιλαμβάνονται επίσης: </w:t>
      </w:r>
    </w:p>
    <w:p w14:paraId="38524EDC">
      <w:pPr>
        <w:pStyle w:val="26"/>
        <w:numPr>
          <w:ilvl w:val="0"/>
          <w:numId w:val="6"/>
        </w:numPr>
        <w:spacing w:after="0" w:line="259" w:lineRule="auto"/>
        <w:rPr>
          <w:rFonts w:ascii="Aptos" w:hAnsi="Aptos" w:cs="Arial"/>
          <w:sz w:val="22"/>
          <w:szCs w:val="22"/>
        </w:rPr>
      </w:pPr>
      <w:r>
        <w:rPr>
          <w:rFonts w:ascii="Aptos" w:hAnsi="Aptos" w:cs="Arial"/>
          <w:sz w:val="22"/>
          <w:szCs w:val="22"/>
        </w:rPr>
        <w:t>το 26% του πυρήνα κατανομής της μεσογειακής φώκιας</w:t>
      </w:r>
    </w:p>
    <w:p w14:paraId="48A82703">
      <w:pPr>
        <w:pStyle w:val="26"/>
        <w:numPr>
          <w:ilvl w:val="0"/>
          <w:numId w:val="6"/>
        </w:numPr>
        <w:spacing w:line="259" w:lineRule="auto"/>
        <w:rPr>
          <w:rFonts w:ascii="Aptos" w:hAnsi="Aptos" w:cs="Arial"/>
          <w:sz w:val="22"/>
          <w:szCs w:val="22"/>
        </w:rPr>
      </w:pPr>
      <w:r>
        <w:rPr>
          <w:rFonts w:ascii="Aptos" w:hAnsi="Aptos" w:cs="Arial"/>
          <w:sz w:val="22"/>
          <w:szCs w:val="22"/>
        </w:rPr>
        <w:t xml:space="preserve">81 παραλίες ωοτοκίας της θαλάσσιας χελώνας Caretta caretta, καθώς και κρίσιμες περιοχές ανάπτυξης, τροφοληψίας και διαχείμασης τόσο για το είδος Caretta caretta όσο και για το είδος Chelonia mydas. </w:t>
      </w:r>
    </w:p>
    <w:p w14:paraId="75ED76CD">
      <w:pPr>
        <w:pStyle w:val="26"/>
        <w:spacing w:line="259" w:lineRule="auto"/>
        <w:rPr>
          <w:rFonts w:ascii="Aptos" w:hAnsi="Aptos" w:cs="Arial"/>
          <w:sz w:val="22"/>
          <w:szCs w:val="22"/>
        </w:rPr>
      </w:pPr>
      <w:r>
        <w:rPr>
          <w:rFonts w:ascii="Aptos" w:hAnsi="Aptos" w:cs="Arial"/>
          <w:sz w:val="22"/>
          <w:szCs w:val="22"/>
        </w:rPr>
        <w:t xml:space="preserve">Το 35% των παραλιών ωοτοκίας του είδους </w:t>
      </w:r>
      <w:r>
        <w:rPr>
          <w:rFonts w:ascii="Aptos" w:hAnsi="Aptos" w:cs="Arial"/>
          <w:i/>
          <w:iCs/>
          <w:sz w:val="22"/>
          <w:szCs w:val="22"/>
        </w:rPr>
        <w:t>Caretta caretta</w:t>
      </w:r>
      <w:r>
        <w:rPr>
          <w:rFonts w:ascii="Aptos" w:hAnsi="Aptos" w:cs="Arial"/>
          <w:sz w:val="22"/>
          <w:szCs w:val="22"/>
        </w:rPr>
        <w:t xml:space="preserve"> στη Μεσόγειο βρίσκεται στην Ελλάδα, με τις περιοχές αυτές να συνεισφέρουν σε πάνω από το 50% του συνολικού αναπαραγωγικού αποτελέσματος του είδους στην περιοχή. 32 από τις 81 παραλίες ωοτοκίας θαλάσσιων χελωνών δεν περιλαμβάνονται ακόμη σε θεσμοθετημένες Προστατευόμενες Περιοχές. Στο θαλάσσιο πάρκο περιλαμβάνεται το 80% των περιοχών τροφοληψίας στο Ιόνιο.</w:t>
      </w:r>
    </w:p>
    <w:p w14:paraId="31F39913">
      <w:pPr>
        <w:pStyle w:val="26"/>
        <w:spacing w:line="259" w:lineRule="auto"/>
        <w:rPr>
          <w:rFonts w:ascii="Aptos" w:hAnsi="Aptos" w:cs="Arial"/>
          <w:sz w:val="22"/>
          <w:szCs w:val="22"/>
        </w:rPr>
      </w:pPr>
      <w:r>
        <w:rPr>
          <w:rFonts w:ascii="Aptos" w:hAnsi="Aptos" w:cs="Arial"/>
          <w:sz w:val="22"/>
          <w:szCs w:val="22"/>
        </w:rPr>
        <w:t xml:space="preserve">Επιπρόσθετα, η περιοχή διαθέτει εξαιρετικής σημασίας οικοτόπους, όπως τα λιβάδια </w:t>
      </w:r>
      <w:r>
        <w:rPr>
          <w:rFonts w:ascii="Aptos" w:hAnsi="Aptos" w:cs="Arial"/>
          <w:iCs/>
          <w:sz w:val="22"/>
          <w:szCs w:val="22"/>
        </w:rPr>
        <w:t xml:space="preserve">Ποσειδωνίας </w:t>
      </w:r>
      <w:r>
        <w:rPr>
          <w:rFonts w:ascii="Aptos" w:hAnsi="Aptos" w:cs="Arial"/>
          <w:sz w:val="22"/>
          <w:szCs w:val="22"/>
        </w:rPr>
        <w:t>και υφάλους με μακροφυτικές βιοκοινωνίες μεγάλων φαιοφυκών στα ρηχά και κοραλλιγενείς βιοκοινωνίες στα βαθύτερα που υποστηρίζουν πλούσια βιοποικιλότητα. Οι ύφαλοι και τα βαθύβια κοράλλια σε βαθιά νερά αποτελούν επίσης σημαντικούς βιογενείς οικοτόπους, υποστηρίζοντας μοναδικά οικοσυστήματα που κινδυνεύουν από καταστροφικές δραστηριότητες, όπως η αλιεία με συρόμενα εργαλεία.</w:t>
      </w:r>
    </w:p>
    <w:p w14:paraId="7936B013">
      <w:pPr>
        <w:pStyle w:val="26"/>
        <w:spacing w:line="259" w:lineRule="auto"/>
        <w:rPr>
          <w:rFonts w:ascii="Aptos" w:hAnsi="Aptos" w:cs="Arial"/>
          <w:sz w:val="22"/>
          <w:szCs w:val="22"/>
        </w:rPr>
      </w:pPr>
      <w:r>
        <w:rPr>
          <w:rFonts w:ascii="Aptos" w:hAnsi="Aptos" w:cs="Arial"/>
          <w:sz w:val="22"/>
          <w:szCs w:val="22"/>
        </w:rPr>
        <w:t xml:space="preserve">Σε ότι αφορά την ορνιθοπανίδα στην περιοχή περιλαμβάνονται σημαντικά θαλασσοπούλια (π.χ. </w:t>
      </w:r>
      <w:r>
        <w:rPr>
          <w:rFonts w:ascii="Aptos" w:hAnsi="Aptos" w:eastAsia="Arial Narrow" w:cs="Arial"/>
          <w:i/>
          <w:sz w:val="22"/>
          <w:szCs w:val="22"/>
        </w:rPr>
        <w:t xml:space="preserve">Calonectris diomedea </w:t>
      </w:r>
      <w:r>
        <w:rPr>
          <w:rFonts w:ascii="Aptos" w:hAnsi="Aptos" w:eastAsia="Arial Narrow" w:cs="Arial"/>
          <w:sz w:val="22"/>
          <w:szCs w:val="22"/>
        </w:rPr>
        <w:t xml:space="preserve">-Αρτέμης, Θαλασσοκόρακας, Μύχος) </w:t>
      </w:r>
      <w:r>
        <w:rPr>
          <w:rFonts w:ascii="Aptos" w:hAnsi="Aptos" w:cs="Arial"/>
          <w:sz w:val="22"/>
          <w:szCs w:val="22"/>
        </w:rPr>
        <w:t>αλλά και μεταναστευτικά είδη, με κυριότερο τον μαυροπετρίτη</w:t>
      </w:r>
      <w:r>
        <w:rPr>
          <w:rFonts w:ascii="Aptos" w:hAnsi="Aptos" w:cs="Arial"/>
          <w:sz w:val="22"/>
          <w:szCs w:val="22"/>
          <w:lang w:val="el-GR"/>
        </w:rPr>
        <w:t>, που έχει στο πάρκο τη μοναδική του παρουσία στο Ιόνιο</w:t>
      </w:r>
      <w:r>
        <w:rPr>
          <w:rFonts w:ascii="Aptos" w:hAnsi="Aptos" w:cs="Arial"/>
          <w:sz w:val="22"/>
          <w:szCs w:val="22"/>
        </w:rPr>
        <w:t>. Οι Στροφάδες φιλοξενούν τη μεγαλύτερη αποικία του θαλασσοπουλιού Αρτέμης στην Ελλάδα, με πάνω από 5.500 ζευγάρια (52-59% του εθνικού πληθυσμού), και έχει χαρακτηριστεί ως μία από τις τρεις σημαντικότερες αποικίες του είδους σε ευρωπαϊκό επίπεδο με βάση τα πληθυσμιακά δεδομένα (αποικίες &gt;1000 ζευγάρια).</w:t>
      </w:r>
    </w:p>
    <w:p w14:paraId="420DC55C">
      <w:pPr>
        <w:pStyle w:val="14"/>
        <w:spacing w:after="120" w:line="259" w:lineRule="auto"/>
        <w:ind w:left="0"/>
        <w:contextualSpacing w:val="0"/>
        <w:rPr>
          <w:rFonts w:cs="Arial"/>
          <w:b/>
          <w:bCs/>
          <w:sz w:val="22"/>
          <w:szCs w:val="22"/>
          <w:lang w:val="el-GR"/>
        </w:rPr>
      </w:pPr>
      <w:r>
        <w:rPr>
          <w:rFonts w:cs="Arial"/>
          <w:b/>
          <w:bCs/>
          <w:sz w:val="22"/>
          <w:szCs w:val="22"/>
          <w:lang w:val="el-GR"/>
        </w:rPr>
        <w:t>6. Πώς θα λειτουργήσουν αποτελεσματικά τα Εθνικά Θαλάσσια Πάρκα σε Ιόνιο και Αιγαίο;</w:t>
      </w:r>
    </w:p>
    <w:p w14:paraId="25592906">
      <w:pPr>
        <w:pStyle w:val="24"/>
        <w:shd w:val="clear" w:color="auto" w:fill="FFFFFF"/>
        <w:tabs>
          <w:tab w:val="left" w:pos="0"/>
        </w:tabs>
        <w:spacing w:before="0" w:beforeAutospacing="0" w:after="200" w:afterAutospacing="0" w:line="259" w:lineRule="auto"/>
        <w:jc w:val="both"/>
        <w:rPr>
          <w:rFonts w:ascii="Aptos" w:hAnsi="Aptos" w:cs="Arial"/>
          <w:color w:val="1D2228"/>
          <w:sz w:val="22"/>
          <w:szCs w:val="22"/>
        </w:rPr>
      </w:pPr>
      <w:r>
        <w:rPr>
          <w:rFonts w:ascii="Aptos" w:hAnsi="Aptos" w:cs="Arial"/>
          <w:color w:val="1D2228"/>
          <w:sz w:val="22"/>
          <w:szCs w:val="22"/>
        </w:rPr>
        <w:t>Τη λειτουργία των δυο θαλάσσιων πάρκων θα αναλάβει ο Οργανισμός Φυσικού Περιβάλλοντος και Κλιματικής Αλλαγής (ΟΦΥΠΕΚΑ) σε συνεργασία με το Λιμενικό, περιβαλλοντικές οργανώσεις και τοπικούς φορείς. Ο ΟΦΥΠΕΚΑ διαχειρίζεται ήδη το Εθνικό Θαλάσσιο Πάρκο Αλοννήσου, το Θαλάσσιο Πάρκο της Ζακύνθου καθώς και το Θαλάσσιο Πάρκο της Γυάρου. Για να μπορέσει να ανταπεξέλθει στην πρόκληση λειτουργίας ο ΟΦΥΠΕΚΑ:</w:t>
      </w:r>
    </w:p>
    <w:p w14:paraId="68879369">
      <w:pPr>
        <w:pStyle w:val="25"/>
        <w:shd w:val="clear" w:color="auto" w:fill="FFFFFF"/>
        <w:tabs>
          <w:tab w:val="left" w:pos="0"/>
        </w:tabs>
        <w:spacing w:before="0" w:beforeAutospacing="0" w:after="60" w:afterAutospacing="0" w:line="259" w:lineRule="auto"/>
        <w:jc w:val="both"/>
        <w:rPr>
          <w:rFonts w:ascii="Aptos" w:hAnsi="Aptos" w:cs="Arial"/>
          <w:color w:val="1D2228"/>
          <w:sz w:val="22"/>
          <w:szCs w:val="22"/>
        </w:rPr>
      </w:pPr>
      <w:r>
        <w:rPr>
          <w:rFonts w:ascii="Aptos" w:hAnsi="Aptos" w:cs="Arial"/>
          <w:color w:val="1D2228"/>
          <w:sz w:val="22"/>
          <w:szCs w:val="22"/>
        </w:rPr>
        <w:t>Α) Θα δημιουργηθεί νέα Διεύθυνση με αρμοδιότητα τις θαλάσσιες προστατευόμενες περιοχές και τα εθνικά Θαλάσσια Πάρκα όλης της χώρας, ώστε να υπάρχει ενιαία προσέγγιση και αποτελεσματικός συντονισμός.</w:t>
      </w:r>
    </w:p>
    <w:p w14:paraId="342F00E2">
      <w:pPr>
        <w:pStyle w:val="25"/>
        <w:shd w:val="clear" w:color="auto" w:fill="FFFFFF"/>
        <w:tabs>
          <w:tab w:val="left" w:pos="0"/>
        </w:tabs>
        <w:spacing w:before="0" w:beforeAutospacing="0" w:after="60" w:afterAutospacing="0" w:line="259" w:lineRule="auto"/>
        <w:jc w:val="both"/>
        <w:rPr>
          <w:rFonts w:ascii="Aptos" w:hAnsi="Aptos" w:cs="Arial"/>
          <w:color w:val="1D2228"/>
          <w:sz w:val="22"/>
          <w:szCs w:val="22"/>
        </w:rPr>
      </w:pPr>
      <w:r>
        <w:rPr>
          <w:rFonts w:ascii="Aptos" w:hAnsi="Aptos" w:cs="Arial"/>
          <w:color w:val="1D2228"/>
          <w:sz w:val="22"/>
          <w:szCs w:val="22"/>
        </w:rPr>
        <w:t xml:space="preserve">Στο Ιόνιο υπάρχει ήδη η Μονάδα Εθνικών Πάρκων Ζακύνθου, Αίνου και Προστατευόμενων Περιοχών Ιονίων Νήσων με έδρα στην Ζάκυνθο και Παράρτημα στην Κεφαλλονιά, ενώ στα Αντικύθηρα λειτουργεί Ορνιθολογικός Σταθμός. Θα δημιουργηθεί και ένα επιπλέον Παράρτημα. </w:t>
      </w:r>
    </w:p>
    <w:p w14:paraId="0A419A7F">
      <w:pPr>
        <w:pStyle w:val="25"/>
        <w:shd w:val="clear" w:color="auto" w:fill="FFFFFF"/>
        <w:tabs>
          <w:tab w:val="left" w:pos="0"/>
        </w:tabs>
        <w:spacing w:before="0" w:beforeAutospacing="0" w:after="200" w:afterAutospacing="0" w:line="259" w:lineRule="auto"/>
        <w:jc w:val="both"/>
        <w:rPr>
          <w:rFonts w:ascii="Aptos" w:hAnsi="Aptos" w:cs="Arial"/>
          <w:color w:val="1D2228"/>
          <w:sz w:val="22"/>
          <w:szCs w:val="22"/>
        </w:rPr>
      </w:pPr>
      <w:r>
        <w:rPr>
          <w:rFonts w:ascii="Aptos" w:hAnsi="Aptos" w:cs="Arial"/>
          <w:color w:val="1D2228"/>
          <w:sz w:val="22"/>
          <w:szCs w:val="22"/>
        </w:rPr>
        <w:t xml:space="preserve">Στο Αιγαίο υπάρχει η Μονάδα Διαχείρισης Προστατευόμενων Περιοχών Κεντρικού Αιγαίου με έδρα στην Ερμούπολη και παράρτημα στη Νάξο. Θα δημιουργηθεί ένα επιπλέον Παράρτημα. </w:t>
      </w:r>
    </w:p>
    <w:p w14:paraId="11D0BD0D">
      <w:pPr>
        <w:pStyle w:val="25"/>
        <w:shd w:val="clear" w:color="auto" w:fill="FFFFFF"/>
        <w:tabs>
          <w:tab w:val="left" w:pos="0"/>
        </w:tabs>
        <w:spacing w:before="0" w:beforeAutospacing="0" w:after="200" w:afterAutospacing="0" w:line="259" w:lineRule="auto"/>
        <w:jc w:val="both"/>
        <w:rPr>
          <w:rFonts w:ascii="Aptos" w:hAnsi="Aptos" w:cs="Arial"/>
          <w:color w:val="1D2228"/>
          <w:sz w:val="22"/>
          <w:szCs w:val="22"/>
        </w:rPr>
      </w:pPr>
      <w:r>
        <w:rPr>
          <w:rFonts w:ascii="Aptos" w:hAnsi="Aptos" w:cs="Arial"/>
          <w:color w:val="1D2228"/>
          <w:sz w:val="22"/>
          <w:szCs w:val="22"/>
        </w:rPr>
        <w:t>Β) Θα ενισχυθεί με 34 νέους επιστήμονές μέσω προκήρυξης του ΑΣΕΠ.</w:t>
      </w:r>
    </w:p>
    <w:p w14:paraId="0FF15712">
      <w:pPr>
        <w:pStyle w:val="25"/>
        <w:shd w:val="clear" w:color="auto" w:fill="FFFFFF"/>
        <w:tabs>
          <w:tab w:val="left" w:pos="0"/>
        </w:tabs>
        <w:spacing w:before="0" w:beforeAutospacing="0" w:after="200" w:afterAutospacing="0" w:line="259" w:lineRule="auto"/>
        <w:jc w:val="both"/>
        <w:rPr>
          <w:rFonts w:ascii="Aptos" w:hAnsi="Aptos" w:cs="Arial"/>
          <w:color w:val="1D2228"/>
          <w:sz w:val="22"/>
          <w:szCs w:val="22"/>
        </w:rPr>
      </w:pPr>
      <w:r>
        <w:rPr>
          <w:rFonts w:ascii="Aptos" w:hAnsi="Aptos" w:cs="Arial"/>
          <w:color w:val="1D2228"/>
          <w:sz w:val="22"/>
          <w:szCs w:val="22"/>
        </w:rPr>
        <w:t>Γ) Θα ενισχυθεί περαιτέρω με εποχιακούς φύλακες. Σήμερα μπορεί να απασχολεί ως και 50 εποχιακούς φύλακες ετησίως.</w:t>
      </w:r>
    </w:p>
    <w:p w14:paraId="38A5FB9F">
      <w:pPr>
        <w:pStyle w:val="25"/>
        <w:shd w:val="clear" w:color="auto" w:fill="FFFFFF"/>
        <w:tabs>
          <w:tab w:val="left" w:pos="0"/>
        </w:tabs>
        <w:spacing w:before="0" w:beforeAutospacing="0" w:after="200" w:afterAutospacing="0" w:line="259" w:lineRule="auto"/>
        <w:jc w:val="both"/>
        <w:rPr>
          <w:rFonts w:ascii="Aptos" w:hAnsi="Aptos" w:cs="Arial"/>
          <w:color w:val="1D2228"/>
          <w:sz w:val="22"/>
          <w:szCs w:val="22"/>
        </w:rPr>
      </w:pPr>
      <w:r>
        <w:rPr>
          <w:rFonts w:ascii="Aptos" w:hAnsi="Aptos" w:cs="Arial"/>
          <w:color w:val="1D2228"/>
          <w:sz w:val="22"/>
          <w:szCs w:val="22"/>
        </w:rPr>
        <w:t xml:space="preserve">Δ) Τα στελέχη του ΟΦΥΠΕΚΑ θα αποκτήσουν προανακριτικά καθήκοντα για την ενίσχυση της αποτελεσματικότητας της επιτήρησης και φύλαξης των Θαλάσσιων Πάρκων. </w:t>
      </w:r>
    </w:p>
    <w:p w14:paraId="52B2D170">
      <w:pPr>
        <w:pStyle w:val="25"/>
        <w:shd w:val="clear" w:color="auto" w:fill="FFFFFF"/>
        <w:tabs>
          <w:tab w:val="left" w:pos="0"/>
        </w:tabs>
        <w:spacing w:before="0" w:beforeAutospacing="0" w:after="120" w:afterAutospacing="0" w:line="259" w:lineRule="auto"/>
        <w:jc w:val="both"/>
        <w:rPr>
          <w:rFonts w:ascii="Aptos" w:hAnsi="Aptos" w:cs="Arial"/>
          <w:color w:val="1D2228"/>
          <w:sz w:val="22"/>
          <w:szCs w:val="22"/>
        </w:rPr>
      </w:pPr>
      <w:r>
        <w:rPr>
          <w:rFonts w:ascii="Aptos" w:hAnsi="Aptos" w:cs="Arial"/>
          <w:color w:val="1D2228"/>
          <w:sz w:val="22"/>
          <w:szCs w:val="22"/>
        </w:rPr>
        <w:t>Ε) Θα ενισχυθεί οικονομικά με περισσότερα από 20 εκ. από διάφορα χρηματοδοτικά εργαλεία.</w:t>
      </w:r>
    </w:p>
    <w:p w14:paraId="311984E3">
      <w:pPr>
        <w:pStyle w:val="25"/>
        <w:shd w:val="clear" w:color="auto" w:fill="FFFFFF"/>
        <w:tabs>
          <w:tab w:val="left" w:pos="0"/>
        </w:tabs>
        <w:spacing w:before="0" w:beforeAutospacing="0" w:after="120" w:afterAutospacing="0" w:line="259" w:lineRule="auto"/>
        <w:jc w:val="center"/>
        <w:rPr>
          <w:rFonts w:ascii="Aptos" w:hAnsi="Aptos" w:cs="Arial"/>
          <w:b/>
          <w:bCs/>
          <w:color w:val="1D2228"/>
          <w:sz w:val="22"/>
          <w:szCs w:val="22"/>
        </w:rPr>
      </w:pPr>
      <w:r>
        <w:rPr>
          <w:rFonts w:ascii="Aptos" w:hAnsi="Aptos" w:cs="Arial"/>
          <w:b/>
          <w:bCs/>
          <w:color w:val="1D2228"/>
          <w:sz w:val="22"/>
          <w:szCs w:val="22"/>
        </w:rPr>
        <w:br w:type="page"/>
      </w:r>
      <w:r>
        <w:rPr>
          <w:rFonts w:ascii="Aptos" w:hAnsi="Aptos" w:cs="Arial"/>
          <w:b/>
          <w:bCs/>
          <w:color w:val="1D2228"/>
          <w:sz w:val="22"/>
          <w:szCs w:val="22"/>
        </w:rPr>
        <w:t>Ποσοστό κάλυψης των Θαλάσσιων Προστατευόμενων περιοχών στα Κράτη Μέλη της ΕΕ</w:t>
      </w:r>
    </w:p>
    <w:p w14:paraId="3B0BD214">
      <w:pPr>
        <w:pStyle w:val="25"/>
        <w:shd w:val="clear" w:color="auto" w:fill="FFFFFF"/>
        <w:tabs>
          <w:tab w:val="left" w:pos="0"/>
        </w:tabs>
        <w:spacing w:before="0" w:beforeAutospacing="0" w:after="120" w:afterAutospacing="0" w:line="259" w:lineRule="auto"/>
        <w:jc w:val="center"/>
        <w:rPr>
          <w:rFonts w:ascii="Aptos" w:hAnsi="Aptos" w:cs="Arial"/>
          <w:color w:val="1D2228"/>
          <w:sz w:val="22"/>
          <w:szCs w:val="22"/>
        </w:rPr>
      </w:pPr>
      <w:r>
        <w:rPr>
          <w:rFonts w:ascii="Aptos" w:hAnsi="Aptos"/>
          <w:sz w:val="22"/>
          <w:szCs w:val="22"/>
        </w:rPr>
        <w:drawing>
          <wp:inline distT="0" distB="0" distL="0" distR="0">
            <wp:extent cx="5321300" cy="42545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10">
                      <a:extLst>
                        <a:ext uri="{28A0092B-C50C-407E-A947-70E740481C1C}">
                          <a14:useLocalDpi xmlns:a14="http://schemas.microsoft.com/office/drawing/2010/main" val="0"/>
                        </a:ext>
                      </a:extLst>
                    </a:blip>
                    <a:srcRect l="1599" t="4486" r="1065" b="1923"/>
                    <a:stretch>
                      <a:fillRect/>
                    </a:stretch>
                  </pic:blipFill>
                  <pic:spPr>
                    <a:xfrm>
                      <a:off x="0" y="0"/>
                      <a:ext cx="5321300" cy="4254500"/>
                    </a:xfrm>
                    <a:prstGeom prst="rect">
                      <a:avLst/>
                    </a:prstGeom>
                    <a:noFill/>
                    <a:ln>
                      <a:noFill/>
                    </a:ln>
                  </pic:spPr>
                </pic:pic>
              </a:graphicData>
            </a:graphic>
          </wp:inline>
        </w:drawing>
      </w:r>
    </w:p>
    <w:p w14:paraId="4F872C65">
      <w:pPr>
        <w:pStyle w:val="25"/>
        <w:shd w:val="clear" w:color="auto" w:fill="FFFFFF"/>
        <w:tabs>
          <w:tab w:val="left" w:pos="0"/>
        </w:tabs>
        <w:spacing w:before="0" w:beforeAutospacing="0" w:after="120" w:afterAutospacing="0" w:line="259" w:lineRule="auto"/>
        <w:jc w:val="both"/>
        <w:rPr>
          <w:rFonts w:ascii="Aptos" w:hAnsi="Aptos" w:cs="Arial"/>
          <w:color w:val="1D2228"/>
          <w:sz w:val="22"/>
          <w:szCs w:val="22"/>
        </w:rPr>
      </w:pPr>
    </w:p>
    <w:p w14:paraId="0FBF0473">
      <w:pPr>
        <w:pStyle w:val="25"/>
        <w:shd w:val="clear" w:color="auto" w:fill="FFFFFF"/>
        <w:tabs>
          <w:tab w:val="left" w:pos="0"/>
        </w:tabs>
        <w:spacing w:before="0" w:beforeAutospacing="0" w:after="120" w:afterAutospacing="0" w:line="259" w:lineRule="auto"/>
        <w:jc w:val="center"/>
        <w:rPr>
          <w:rFonts w:ascii="Aptos" w:hAnsi="Aptos" w:cs="Arial"/>
          <w:color w:val="1D2228"/>
          <w:sz w:val="22"/>
          <w:szCs w:val="22"/>
        </w:rPr>
      </w:pPr>
      <w:r>
        <w:rPr>
          <w:rFonts w:ascii="Aptos" w:hAnsi="Aptos" w:cs="Arial"/>
          <w:b/>
          <w:bCs/>
          <w:color w:val="1D2228"/>
          <w:sz w:val="22"/>
          <w:szCs w:val="22"/>
        </w:rPr>
        <w:t>Συνολική κάλυψη των Θαλάσσιων Προστατευόμενων περιοχών στα Κράτη Μέλη της ΕΕ</w:t>
      </w:r>
    </w:p>
    <w:p w14:paraId="2E1A5684">
      <w:pPr>
        <w:pStyle w:val="25"/>
        <w:shd w:val="clear" w:color="auto" w:fill="FFFFFF"/>
        <w:tabs>
          <w:tab w:val="left" w:pos="0"/>
        </w:tabs>
        <w:spacing w:before="0" w:beforeAutospacing="0" w:after="120" w:afterAutospacing="0" w:line="259" w:lineRule="auto"/>
        <w:jc w:val="center"/>
        <w:rPr>
          <w:rFonts w:ascii="Aptos" w:hAnsi="Aptos" w:cs="Arial"/>
          <w:color w:val="1D2228"/>
          <w:sz w:val="22"/>
          <w:szCs w:val="22"/>
          <w:lang w:val="en-US"/>
        </w:rPr>
      </w:pPr>
      <w:r>
        <w:rPr>
          <w:rFonts w:ascii="Aptos" w:hAnsi="Aptos" w:cs="Arial"/>
          <w:color w:val="1D2228"/>
          <w:sz w:val="22"/>
          <w:szCs w:val="22"/>
          <w:lang w:val="en-US"/>
        </w:rPr>
        <w:drawing>
          <wp:inline distT="0" distB="0" distL="0" distR="0">
            <wp:extent cx="5359400" cy="42608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1">
                      <a:extLst>
                        <a:ext uri="{28A0092B-C50C-407E-A947-70E740481C1C}">
                          <a14:useLocalDpi xmlns:a14="http://schemas.microsoft.com/office/drawing/2010/main" val="0"/>
                        </a:ext>
                      </a:extLst>
                    </a:blip>
                    <a:srcRect t="3355"/>
                    <a:stretch>
                      <a:fillRect/>
                    </a:stretch>
                  </pic:blipFill>
                  <pic:spPr>
                    <a:xfrm>
                      <a:off x="0" y="0"/>
                      <a:ext cx="5359400" cy="4260850"/>
                    </a:xfrm>
                    <a:prstGeom prst="rect">
                      <a:avLst/>
                    </a:prstGeom>
                    <a:noFill/>
                    <a:ln>
                      <a:noFill/>
                    </a:ln>
                  </pic:spPr>
                </pic:pic>
              </a:graphicData>
            </a:graphic>
          </wp:inline>
        </w:drawing>
      </w:r>
    </w:p>
    <w:p w14:paraId="40B45F91">
      <w:pPr>
        <w:pStyle w:val="14"/>
        <w:spacing w:after="120" w:line="259" w:lineRule="auto"/>
        <w:ind w:left="0"/>
        <w:contextualSpacing w:val="0"/>
        <w:jc w:val="both"/>
        <w:rPr>
          <w:rFonts w:cs="Arial"/>
          <w:b/>
          <w:bCs/>
          <w:sz w:val="22"/>
          <w:szCs w:val="22"/>
          <w:lang w:val="el-GR"/>
        </w:rPr>
      </w:pPr>
    </w:p>
    <w:p w14:paraId="70338297">
      <w:pPr>
        <w:pStyle w:val="14"/>
        <w:spacing w:after="120" w:line="259" w:lineRule="auto"/>
        <w:ind w:left="0"/>
        <w:contextualSpacing w:val="0"/>
        <w:jc w:val="both"/>
        <w:rPr>
          <w:rFonts w:cs="Arial"/>
          <w:b/>
          <w:bCs/>
          <w:sz w:val="22"/>
          <w:szCs w:val="22"/>
          <w:lang w:val="el-GR"/>
        </w:rPr>
      </w:pPr>
    </w:p>
    <w:p w14:paraId="5BF5FB5A">
      <w:pPr>
        <w:pStyle w:val="14"/>
        <w:spacing w:after="120" w:line="259" w:lineRule="auto"/>
        <w:ind w:left="0"/>
        <w:contextualSpacing w:val="0"/>
        <w:jc w:val="both"/>
        <w:rPr>
          <w:rFonts w:cs="Arial"/>
          <w:b/>
          <w:bCs/>
          <w:sz w:val="22"/>
          <w:szCs w:val="22"/>
          <w:lang w:val="el-GR"/>
        </w:rPr>
      </w:pPr>
    </w:p>
    <w:p w14:paraId="7417F134">
      <w:pPr>
        <w:pStyle w:val="14"/>
        <w:spacing w:after="120" w:line="259" w:lineRule="auto"/>
        <w:ind w:left="0"/>
        <w:contextualSpacing w:val="0"/>
        <w:jc w:val="both"/>
        <w:rPr>
          <w:rFonts w:cs="Arial"/>
          <w:b/>
          <w:bCs/>
          <w:sz w:val="22"/>
          <w:szCs w:val="22"/>
          <w:lang w:val="el-GR"/>
        </w:rPr>
      </w:pPr>
    </w:p>
    <w:p w14:paraId="4375DC45">
      <w:pPr>
        <w:pStyle w:val="14"/>
        <w:spacing w:after="120" w:line="259" w:lineRule="auto"/>
        <w:ind w:left="0"/>
        <w:contextualSpacing w:val="0"/>
        <w:jc w:val="both"/>
        <w:rPr>
          <w:rFonts w:cs="Arial"/>
          <w:b/>
          <w:bCs/>
          <w:sz w:val="22"/>
          <w:szCs w:val="22"/>
          <w:lang w:val="el-GR"/>
        </w:rPr>
      </w:pPr>
      <w:r>
        <w:rPr>
          <w:rFonts w:cs="Arial"/>
          <w:b/>
          <w:bCs/>
          <w:sz w:val="22"/>
          <w:szCs w:val="22"/>
          <w:lang w:val="el-GR"/>
        </w:rPr>
        <w:t xml:space="preserve">7. Με ποιον τρόπο θα προστατεύονται αποτελεσματικά τα Εθνικά Θαλάσσια Πάρκα από παράνομες αλιευτικές ή κυνηγετικές δραστηριότητες; </w:t>
      </w:r>
    </w:p>
    <w:p w14:paraId="1B902680">
      <w:pPr>
        <w:pStyle w:val="25"/>
        <w:tabs>
          <w:tab w:val="left" w:pos="0"/>
        </w:tabs>
        <w:spacing w:after="120" w:line="259" w:lineRule="auto"/>
        <w:jc w:val="both"/>
        <w:rPr>
          <w:rFonts w:ascii="Aptos" w:hAnsi="Aptos" w:cs="Arial"/>
          <w:color w:val="1D2228"/>
          <w:sz w:val="22"/>
          <w:szCs w:val="22"/>
        </w:rPr>
      </w:pPr>
      <w:r>
        <w:rPr>
          <w:rFonts w:ascii="Aptos" w:hAnsi="Aptos" w:cs="Arial"/>
          <w:color w:val="1D2228"/>
          <w:sz w:val="22"/>
          <w:szCs w:val="22"/>
        </w:rPr>
        <w:t>α) Με περιπολίες και ελέγχους από τις αρμόδιες αρχές Λιμενικό, Δασική Υπηρεσία και ΟΦΥΠΕΚΑ καθώς και με περιπολίες μεικτών κλιμακίων. Τα στελέχη του ΟΦΥΠΕΚΑ θα ενισχυθούν περαιτέρω με την απόκτηση  προανακριτικών καθηκόντων.</w:t>
      </w:r>
    </w:p>
    <w:p w14:paraId="0421B167">
      <w:pPr>
        <w:pStyle w:val="25"/>
        <w:tabs>
          <w:tab w:val="left" w:pos="0"/>
        </w:tabs>
        <w:spacing w:after="120" w:line="259" w:lineRule="auto"/>
        <w:jc w:val="both"/>
        <w:rPr>
          <w:rFonts w:ascii="Aptos" w:hAnsi="Aptos" w:cs="Arial"/>
          <w:color w:val="1D2228"/>
          <w:sz w:val="22"/>
          <w:szCs w:val="22"/>
        </w:rPr>
      </w:pPr>
      <w:r>
        <w:rPr>
          <w:rFonts w:ascii="Aptos" w:hAnsi="Aptos" w:cs="Arial"/>
          <w:color w:val="1D2228"/>
          <w:sz w:val="22"/>
          <w:szCs w:val="22"/>
        </w:rPr>
        <w:t>β) Με περιπολίες και ελέγχους από την Θηροφυλακή.</w:t>
      </w:r>
    </w:p>
    <w:p w14:paraId="1B9F790A">
      <w:pPr>
        <w:pStyle w:val="25"/>
        <w:tabs>
          <w:tab w:val="left" w:pos="0"/>
        </w:tabs>
        <w:spacing w:after="120" w:line="259" w:lineRule="auto"/>
        <w:jc w:val="both"/>
        <w:rPr>
          <w:rFonts w:ascii="Aptos" w:hAnsi="Aptos" w:cs="Arial"/>
          <w:color w:val="1D2228"/>
          <w:sz w:val="22"/>
          <w:szCs w:val="22"/>
        </w:rPr>
      </w:pPr>
      <w:r>
        <w:rPr>
          <w:rFonts w:ascii="Aptos" w:hAnsi="Aptos" w:cs="Arial"/>
          <w:color w:val="1D2228"/>
          <w:sz w:val="22"/>
          <w:szCs w:val="22"/>
        </w:rPr>
        <w:t>γ) Με Μνημόνια Συνεργασίας με περιβαλλοντικές οργανώσεις που δραστηριοποιούνται στην μελέτη και επιτήρηση θαλάσσιων περιοχών. Στην περιοχή του Θαλάσσιου Πάρκου Αλοννήσου υπάρχει συνεργασία με την Sea Shepards Global.  </w:t>
      </w:r>
    </w:p>
    <w:p w14:paraId="4FF32616">
      <w:pPr>
        <w:pStyle w:val="25"/>
        <w:tabs>
          <w:tab w:val="left" w:pos="0"/>
        </w:tabs>
        <w:spacing w:after="120" w:line="259" w:lineRule="auto"/>
        <w:jc w:val="both"/>
        <w:rPr>
          <w:rFonts w:ascii="Aptos" w:hAnsi="Aptos" w:cs="Arial"/>
          <w:color w:val="1D2228"/>
          <w:sz w:val="22"/>
          <w:szCs w:val="22"/>
        </w:rPr>
      </w:pPr>
      <w:r>
        <w:rPr>
          <w:rFonts w:ascii="Aptos" w:hAnsi="Aptos" w:cs="Arial"/>
          <w:color w:val="1D2228"/>
          <w:sz w:val="22"/>
          <w:szCs w:val="22"/>
        </w:rPr>
        <w:t xml:space="preserve">δ) Με ενσωμάτωση GPS σε τράτες και παρακολούθηση της κίνησής τους (στοιχεία </w:t>
      </w:r>
      <w:r>
        <w:rPr>
          <w:rFonts w:ascii="Aptos" w:hAnsi="Aptos" w:cs="Arial"/>
          <w:color w:val="1D2228"/>
          <w:sz w:val="22"/>
          <w:szCs w:val="22"/>
          <w:lang w:val="en-US"/>
        </w:rPr>
        <w:t>VMS</w:t>
      </w:r>
      <w:r>
        <w:rPr>
          <w:rFonts w:ascii="Aptos" w:hAnsi="Aptos" w:cs="Arial"/>
          <w:color w:val="1D2228"/>
          <w:sz w:val="22"/>
          <w:szCs w:val="22"/>
        </w:rPr>
        <w:t xml:space="preserve">). Η κίνηση των σκαφών θα διασταυρώνεται από δορυφορικά δεδομένα από την </w:t>
      </w:r>
      <w:r>
        <w:rPr>
          <w:rFonts w:ascii="Aptos" w:hAnsi="Aptos" w:cs="Arial"/>
          <w:color w:val="1D2228"/>
          <w:sz w:val="22"/>
          <w:szCs w:val="22"/>
          <w:lang w:val="en-US"/>
        </w:rPr>
        <w:t>Google</w:t>
      </w:r>
      <w:r>
        <w:rPr>
          <w:rFonts w:ascii="Aptos" w:hAnsi="Aptos" w:cs="Arial"/>
          <w:color w:val="1D2228"/>
          <w:sz w:val="22"/>
          <w:szCs w:val="22"/>
        </w:rPr>
        <w:t xml:space="preserve"> που θα παρέχονται δωρεάν μέσω της συνεργασίας με την </w:t>
      </w:r>
      <w:r>
        <w:rPr>
          <w:rFonts w:ascii="Aptos" w:hAnsi="Aptos" w:cs="Arial"/>
          <w:color w:val="1D2228"/>
          <w:sz w:val="22"/>
          <w:szCs w:val="22"/>
          <w:lang w:val="en-US"/>
        </w:rPr>
        <w:t>Global</w:t>
      </w:r>
      <w:r>
        <w:rPr>
          <w:rFonts w:ascii="Aptos" w:hAnsi="Aptos" w:cs="Arial"/>
          <w:color w:val="1D2228"/>
          <w:sz w:val="22"/>
          <w:szCs w:val="22"/>
        </w:rPr>
        <w:t xml:space="preserve"> </w:t>
      </w:r>
      <w:r>
        <w:rPr>
          <w:rFonts w:ascii="Aptos" w:hAnsi="Aptos" w:cs="Arial"/>
          <w:color w:val="1D2228"/>
          <w:sz w:val="22"/>
          <w:szCs w:val="22"/>
          <w:lang w:val="en-US"/>
        </w:rPr>
        <w:t>Fishing</w:t>
      </w:r>
      <w:r>
        <w:rPr>
          <w:rFonts w:ascii="Aptos" w:hAnsi="Aptos" w:cs="Arial"/>
          <w:color w:val="1D2228"/>
          <w:sz w:val="22"/>
          <w:szCs w:val="22"/>
        </w:rPr>
        <w:t xml:space="preserve"> </w:t>
      </w:r>
      <w:r>
        <w:rPr>
          <w:rFonts w:ascii="Aptos" w:hAnsi="Aptos" w:cs="Arial"/>
          <w:color w:val="1D2228"/>
          <w:sz w:val="22"/>
          <w:szCs w:val="22"/>
          <w:lang w:val="en-US"/>
        </w:rPr>
        <w:t>Watch</w:t>
      </w:r>
      <w:r>
        <w:rPr>
          <w:rFonts w:ascii="Aptos" w:hAnsi="Aptos" w:cs="Arial"/>
          <w:color w:val="1D2228"/>
          <w:sz w:val="22"/>
          <w:szCs w:val="22"/>
        </w:rPr>
        <w:t xml:space="preserve"> η οποία χρηματοδοτείται από το Ίδρυμα Αθ. Λασκαρίδης και της εκπαίδευσης στη χρήση του συστήματος από το λιμενικό. Έχει υπογραφεί μνημόνιο συνεργασίας από όλα τα εμπλεκόμενα μέρη.  </w:t>
      </w:r>
    </w:p>
    <w:p w14:paraId="3E08EF56">
      <w:pPr>
        <w:pStyle w:val="25"/>
        <w:tabs>
          <w:tab w:val="left" w:pos="0"/>
        </w:tabs>
        <w:spacing w:after="120" w:line="259" w:lineRule="auto"/>
        <w:jc w:val="both"/>
        <w:rPr>
          <w:rFonts w:ascii="Aptos" w:hAnsi="Aptos" w:cs="Arial"/>
          <w:color w:val="1D2228"/>
          <w:sz w:val="22"/>
          <w:szCs w:val="22"/>
        </w:rPr>
      </w:pPr>
      <w:r>
        <w:rPr>
          <w:rFonts w:ascii="Aptos" w:hAnsi="Aptos" w:cs="Arial"/>
          <w:color w:val="1D2228"/>
          <w:sz w:val="22"/>
          <w:szCs w:val="22"/>
        </w:rPr>
        <w:t>ε)  Με δορυφορικές εικόνες πολύ υψηλής ευκρίνειας και συνεχούς λήψης που θα προμηθευτεί ο ΟΦΥΠΕΚΑ από το Ταμείο Ανάκαμψης και Ανθεκτικότητας. </w:t>
      </w:r>
    </w:p>
    <w:p w14:paraId="77D28BCF">
      <w:pPr>
        <w:pStyle w:val="25"/>
        <w:tabs>
          <w:tab w:val="left" w:pos="0"/>
        </w:tabs>
        <w:spacing w:after="120" w:line="259" w:lineRule="auto"/>
        <w:jc w:val="both"/>
        <w:rPr>
          <w:rFonts w:ascii="Aptos" w:hAnsi="Aptos" w:cs="Arial"/>
          <w:color w:val="1D2228"/>
          <w:sz w:val="22"/>
          <w:szCs w:val="22"/>
        </w:rPr>
      </w:pPr>
      <w:r>
        <w:rPr>
          <w:rFonts w:ascii="Aptos" w:hAnsi="Aptos" w:cs="Arial"/>
          <w:color w:val="1D2228"/>
          <w:sz w:val="22"/>
          <w:szCs w:val="22"/>
        </w:rPr>
        <w:t xml:space="preserve">στ) Επίσης, ολοκληρώνονται μέσω του Ταμείου Ανάκαμψης δυο διαγωνισμοί που αφορούν σκάφη για την επιτήρηση και εποπτεία των θαλάσσιων προστατευόμενων περιοχών αλλά και την προμήθεια εξοπλισμού (περιλαμβάνει, μεταξύ άλλων, ιπτάμενα και υποθαλάσσια </w:t>
      </w:r>
      <w:r>
        <w:rPr>
          <w:rFonts w:ascii="Aptos" w:hAnsi="Aptos" w:cs="Arial"/>
          <w:color w:val="1D2228"/>
          <w:sz w:val="22"/>
          <w:szCs w:val="22"/>
          <w:lang w:val="en-US"/>
        </w:rPr>
        <w:t>drones</w:t>
      </w:r>
      <w:r>
        <w:rPr>
          <w:rFonts w:ascii="Aptos" w:hAnsi="Aptos" w:cs="Arial"/>
          <w:color w:val="1D2228"/>
          <w:sz w:val="22"/>
          <w:szCs w:val="22"/>
        </w:rPr>
        <w:t xml:space="preserve">, </w:t>
      </w:r>
      <w:r>
        <w:rPr>
          <w:rFonts w:ascii="Aptos" w:hAnsi="Aptos" w:cs="Arial"/>
          <w:color w:val="1D2228"/>
          <w:sz w:val="22"/>
          <w:szCs w:val="22"/>
          <w:lang w:val="en-US"/>
        </w:rPr>
        <w:t>radar</w:t>
      </w:r>
      <w:r>
        <w:rPr>
          <w:rFonts w:ascii="Aptos" w:hAnsi="Aptos" w:cs="Arial"/>
          <w:color w:val="1D2228"/>
          <w:sz w:val="22"/>
          <w:szCs w:val="22"/>
        </w:rPr>
        <w:t>, σκάφη κ.λπ.) για τη δημιουργία  ολοκληρωμένου συστήματος παρακολούθησης και εποπτείας των Θαλάσσιων Προστατευόμενων Περιοχών.</w:t>
      </w:r>
    </w:p>
    <w:p w14:paraId="6F1BBC05">
      <w:pPr>
        <w:pStyle w:val="25"/>
        <w:tabs>
          <w:tab w:val="left" w:pos="0"/>
        </w:tabs>
        <w:spacing w:after="120" w:line="259" w:lineRule="auto"/>
        <w:ind w:left="720"/>
        <w:jc w:val="both"/>
        <w:rPr>
          <w:rFonts w:ascii="Aptos" w:hAnsi="Aptos" w:cs="Arial"/>
          <w:b/>
          <w:bCs/>
          <w:color w:val="1D2228"/>
          <w:sz w:val="22"/>
          <w:szCs w:val="22"/>
        </w:rPr>
      </w:pPr>
      <w:r>
        <w:rPr>
          <w:rFonts w:ascii="Aptos" w:hAnsi="Aptos" w:cs="Arial"/>
          <w:b/>
          <w:bCs/>
          <w:color w:val="1D2228"/>
          <w:sz w:val="22"/>
          <w:szCs w:val="22"/>
        </w:rPr>
        <w:t>8. Συμβάλλουν τα Εθνικά Θαλάσσια Πάρκα στην τοπική οικονομία;</w:t>
      </w:r>
    </w:p>
    <w:p w14:paraId="5650BEBB">
      <w:pPr>
        <w:pStyle w:val="25"/>
        <w:tabs>
          <w:tab w:val="left" w:pos="0"/>
        </w:tabs>
        <w:spacing w:after="120" w:line="259" w:lineRule="auto"/>
        <w:jc w:val="both"/>
        <w:rPr>
          <w:rFonts w:ascii="Aptos" w:hAnsi="Aptos" w:cs="Arial"/>
          <w:color w:val="1D2228"/>
          <w:sz w:val="22"/>
          <w:szCs w:val="22"/>
        </w:rPr>
      </w:pPr>
      <w:r>
        <w:rPr>
          <w:rFonts w:ascii="Aptos" w:hAnsi="Aptos" w:cs="Arial"/>
          <w:color w:val="1D2228"/>
          <w:sz w:val="22"/>
          <w:szCs w:val="22"/>
        </w:rPr>
        <w:t xml:space="preserve">Τα θαλάσσια πάρκα ενισχύουν και την τοπική οικονομία : </w:t>
      </w:r>
    </w:p>
    <w:p w14:paraId="319CE281">
      <w:pPr>
        <w:pStyle w:val="25"/>
        <w:numPr>
          <w:ilvl w:val="0"/>
          <w:numId w:val="7"/>
        </w:numPr>
        <w:tabs>
          <w:tab w:val="left" w:pos="0"/>
        </w:tabs>
        <w:spacing w:after="120" w:line="259" w:lineRule="auto"/>
        <w:jc w:val="both"/>
        <w:rPr>
          <w:rFonts w:ascii="Aptos" w:hAnsi="Aptos" w:cs="Arial"/>
          <w:color w:val="1D2228"/>
          <w:sz w:val="22"/>
          <w:szCs w:val="22"/>
        </w:rPr>
      </w:pPr>
      <w:r>
        <w:rPr>
          <w:rFonts w:ascii="Aptos" w:hAnsi="Aptos" w:cs="Arial"/>
          <w:b/>
          <w:bCs/>
          <w:color w:val="1D2228"/>
          <w:sz w:val="22"/>
          <w:szCs w:val="22"/>
        </w:rPr>
        <w:t>Διαφοροποίηση και ενίσχυση του τουριστικού προϊόντος μέσω του οικοτουρισμού</w:t>
      </w:r>
      <w:r>
        <w:rPr>
          <w:rFonts w:ascii="Aptos" w:hAnsi="Aptos" w:cs="Arial"/>
          <w:color w:val="1D2228"/>
          <w:sz w:val="22"/>
          <w:szCs w:val="22"/>
        </w:rPr>
        <w:t xml:space="preserve">. Τα θαλάσσια πάρκα προσελκύουν επισκέπτες που ενδιαφέρονται για τη φύση και τη θαλάσσια ζωή, όπως δύτες, περιηγητές και φυσιολάτρες. Αυτό οδηγεί σε αύξηση της επισκεψιμότητας της περιοχής, δημιουργεί θέσεις εργασίας (π.χ. ξεναγοί, οδηγοί σκαφών) και ενισχύει τις τοπικές επιχειρήσεις </w:t>
      </w:r>
    </w:p>
    <w:p w14:paraId="1E051D7C">
      <w:pPr>
        <w:pStyle w:val="25"/>
        <w:numPr>
          <w:ilvl w:val="0"/>
          <w:numId w:val="7"/>
        </w:numPr>
        <w:tabs>
          <w:tab w:val="left" w:pos="0"/>
        </w:tabs>
        <w:spacing w:after="120" w:line="259" w:lineRule="auto"/>
        <w:jc w:val="both"/>
        <w:rPr>
          <w:rFonts w:ascii="Aptos" w:hAnsi="Aptos" w:cs="Arial"/>
          <w:color w:val="1D2228"/>
          <w:sz w:val="22"/>
          <w:szCs w:val="22"/>
        </w:rPr>
      </w:pPr>
      <w:r>
        <w:rPr>
          <w:rFonts w:ascii="Aptos" w:hAnsi="Aptos" w:cs="Arial"/>
          <w:b/>
          <w:bCs/>
          <w:color w:val="1D2228"/>
          <w:sz w:val="22"/>
          <w:szCs w:val="22"/>
        </w:rPr>
        <w:t>Αλιεία με μακροπρόθεσμα οφέλη.</w:t>
      </w:r>
      <w:r>
        <w:rPr>
          <w:rFonts w:ascii="Aptos" w:hAnsi="Aptos" w:cs="Arial"/>
          <w:color w:val="1D2228"/>
          <w:sz w:val="22"/>
          <w:szCs w:val="22"/>
        </w:rPr>
        <w:t xml:space="preserve"> Η προστασία ειδών και οικοσυστημάτων μέσα στα θαλάσσια πάρκα, επιτρέπει την αναπαραγωγή ψαριών και άλλων θαλάσσιων οργανισμών και έτσι ενισχύει τα ιχθυαποθέματα και εκτός του πάρκου, υποστηρίζοντας τη βιώσιμη αλιεία και την εισοδηματική ασφάλεια των ντόπιων ψαράδων. </w:t>
      </w:r>
    </w:p>
    <w:p w14:paraId="16E2849C">
      <w:pPr>
        <w:pStyle w:val="25"/>
        <w:numPr>
          <w:ilvl w:val="0"/>
          <w:numId w:val="7"/>
        </w:numPr>
        <w:tabs>
          <w:tab w:val="left" w:pos="0"/>
        </w:tabs>
        <w:spacing w:after="120" w:line="259" w:lineRule="auto"/>
        <w:jc w:val="both"/>
        <w:rPr>
          <w:rFonts w:ascii="Aptos" w:hAnsi="Aptos" w:cs="Arial"/>
          <w:color w:val="1D2228"/>
          <w:sz w:val="22"/>
          <w:szCs w:val="22"/>
        </w:rPr>
      </w:pPr>
      <w:r>
        <w:rPr>
          <w:rFonts w:ascii="Aptos" w:hAnsi="Aptos" w:cs="Arial"/>
          <w:b/>
          <w:bCs/>
          <w:color w:val="1D2228"/>
          <w:sz w:val="22"/>
          <w:szCs w:val="22"/>
        </w:rPr>
        <w:t>Δημιουργία νέων θέσεων εργασίας για επιστημονικό προσωπικό</w:t>
      </w:r>
      <w:r>
        <w:rPr>
          <w:rFonts w:ascii="Aptos" w:hAnsi="Aptos" w:cs="Arial"/>
          <w:color w:val="1D2228"/>
          <w:sz w:val="22"/>
          <w:szCs w:val="22"/>
        </w:rPr>
        <w:t xml:space="preserve"> (π.χ. βιολόγοι, ωκεανογράφοι) αλλά και επόπτες, τεχνικό και εκπαιδευτικό προσωπικό για προγράμματα περιβαλλοντικής εκπαίδευσης και ευαισθητοποίησης. </w:t>
      </w:r>
    </w:p>
    <w:p w14:paraId="5B1B0F1E">
      <w:pPr>
        <w:pStyle w:val="25"/>
        <w:numPr>
          <w:ilvl w:val="0"/>
          <w:numId w:val="7"/>
        </w:numPr>
        <w:tabs>
          <w:tab w:val="left" w:pos="0"/>
        </w:tabs>
        <w:spacing w:after="120" w:line="259" w:lineRule="auto"/>
        <w:jc w:val="both"/>
        <w:rPr>
          <w:rFonts w:ascii="Aptos" w:hAnsi="Aptos" w:cs="Arial"/>
          <w:color w:val="1D2228"/>
          <w:sz w:val="22"/>
          <w:szCs w:val="22"/>
        </w:rPr>
      </w:pPr>
      <w:r>
        <w:rPr>
          <w:rFonts w:ascii="Aptos" w:hAnsi="Aptos" w:cs="Arial"/>
          <w:b/>
          <w:bCs/>
          <w:color w:val="1D2228"/>
          <w:sz w:val="22"/>
          <w:szCs w:val="22"/>
        </w:rPr>
        <w:t>Προώθηση τοπικών προϊόντων.</w:t>
      </w:r>
      <w:r>
        <w:rPr>
          <w:rFonts w:ascii="Aptos" w:hAnsi="Aptos" w:cs="Arial"/>
          <w:color w:val="1D2228"/>
          <w:sz w:val="22"/>
          <w:szCs w:val="22"/>
        </w:rPr>
        <w:t xml:space="preserve"> Τα θαλάσσια πάρκα δίνουν ταυτότητα στον χώρο και μεγαλύτερη αναγνωρισιμότητα και έτσι ενισχύεται η αγορά τοπικών προϊόντων.</w:t>
      </w:r>
    </w:p>
    <w:p w14:paraId="634A6EAC">
      <w:pPr>
        <w:pStyle w:val="25"/>
        <w:shd w:val="clear" w:color="auto" w:fill="FFFFFF"/>
        <w:tabs>
          <w:tab w:val="left" w:pos="0"/>
        </w:tabs>
        <w:spacing w:before="0" w:beforeAutospacing="0" w:after="120" w:afterAutospacing="0" w:line="259" w:lineRule="auto"/>
        <w:jc w:val="both"/>
        <w:rPr>
          <w:rFonts w:ascii="Aptos" w:hAnsi="Aptos" w:cs="Arial"/>
          <w:color w:val="1D2228"/>
          <w:sz w:val="22"/>
          <w:szCs w:val="22"/>
        </w:rPr>
      </w:pPr>
    </w:p>
    <w:p w14:paraId="39849AAC">
      <w:pPr>
        <w:spacing w:line="259" w:lineRule="auto"/>
        <w:jc w:val="center"/>
        <w:rPr>
          <w:rFonts w:cs="Arial"/>
          <w:b/>
          <w:sz w:val="22"/>
          <w:szCs w:val="22"/>
          <w:lang w:val="el-GR"/>
        </w:rPr>
      </w:pPr>
      <w:r>
        <w:rPr>
          <w:rFonts w:cs="Arial"/>
          <w:b/>
          <w:sz w:val="22"/>
          <w:szCs w:val="22"/>
          <w:lang w:val="el-GR"/>
        </w:rPr>
        <w:br w:type="page"/>
      </w:r>
    </w:p>
    <w:p w14:paraId="2F2E7853">
      <w:pPr>
        <w:spacing w:line="259" w:lineRule="auto"/>
        <w:jc w:val="center"/>
        <w:rPr>
          <w:rFonts w:cs="Arial"/>
          <w:b/>
          <w:bCs/>
          <w:sz w:val="22"/>
          <w:szCs w:val="22"/>
          <w:lang w:val="el-GR"/>
        </w:rPr>
      </w:pPr>
      <w:r>
        <w:rPr>
          <w:rFonts w:cs="Arial"/>
          <w:b/>
          <w:bCs/>
          <w:sz w:val="22"/>
          <w:szCs w:val="22"/>
          <w:lang w:val="el-GR"/>
        </w:rPr>
        <w:t>ΠΑΡΑΡΤΗΜΑ 1</w:t>
      </w:r>
    </w:p>
    <w:p w14:paraId="24CAD8B4">
      <w:pPr>
        <w:spacing w:line="259" w:lineRule="auto"/>
        <w:jc w:val="center"/>
        <w:rPr>
          <w:rFonts w:cs="Arial"/>
          <w:b/>
          <w:bCs/>
          <w:sz w:val="22"/>
          <w:szCs w:val="22"/>
          <w:lang w:val="el-GR"/>
        </w:rPr>
      </w:pPr>
      <w:r>
        <w:rPr>
          <w:rFonts w:cs="Arial"/>
          <w:b/>
          <w:bCs/>
          <w:sz w:val="22"/>
          <w:szCs w:val="22"/>
          <w:lang w:val="el-GR"/>
        </w:rPr>
        <w:t xml:space="preserve">Περιοχές του Δικτύου </w:t>
      </w:r>
      <w:r>
        <w:rPr>
          <w:rFonts w:cs="Arial"/>
          <w:b/>
          <w:bCs/>
          <w:sz w:val="22"/>
          <w:szCs w:val="22"/>
        </w:rPr>
        <w:t>Natura</w:t>
      </w:r>
      <w:r>
        <w:rPr>
          <w:rFonts w:cs="Arial"/>
          <w:b/>
          <w:bCs/>
          <w:sz w:val="22"/>
          <w:szCs w:val="22"/>
          <w:lang w:val="el-GR"/>
        </w:rPr>
        <w:t xml:space="preserve"> 2000 (ή τμήματά τους) που περιλαμβάνονται στο Εθνικό Θαλάσσιο Πάρκο Νοτίου Αιγαίου 1 – Νότιες Κυκλάδες</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3"/>
        <w:gridCol w:w="6581"/>
        <w:gridCol w:w="1207"/>
      </w:tblGrid>
      <w:tr w14:paraId="23BBA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039" w:type="pct"/>
            <w:tcBorders>
              <w:top w:val="single" w:color="auto" w:sz="4" w:space="0"/>
              <w:left w:val="single" w:color="auto" w:sz="4" w:space="0"/>
              <w:bottom w:val="single" w:color="auto" w:sz="4" w:space="0"/>
              <w:right w:val="single" w:color="auto" w:sz="4" w:space="0"/>
            </w:tcBorders>
            <w:shd w:val="clear" w:color="auto" w:fill="76923C"/>
            <w:vAlign w:val="center"/>
          </w:tcPr>
          <w:p w14:paraId="14E82EFC">
            <w:pPr>
              <w:spacing w:line="259" w:lineRule="auto"/>
              <w:jc w:val="center"/>
              <w:rPr>
                <w:rFonts w:eastAsia="Times New Roman" w:cs="Arial"/>
                <w:b/>
                <w:bCs/>
                <w:color w:val="FFFFFF"/>
                <w:sz w:val="20"/>
                <w:szCs w:val="20"/>
              </w:rPr>
            </w:pPr>
            <w:r>
              <w:rPr>
                <w:rFonts w:eastAsia="Times New Roman" w:cs="Arial"/>
                <w:b/>
                <w:bCs/>
                <w:color w:val="FFFFFF"/>
                <w:sz w:val="20"/>
                <w:szCs w:val="20"/>
              </w:rPr>
              <w:t>Κωδικός N2000</w:t>
            </w:r>
          </w:p>
        </w:tc>
        <w:tc>
          <w:tcPr>
            <w:tcW w:w="3347" w:type="pct"/>
            <w:tcBorders>
              <w:top w:val="single" w:color="auto" w:sz="4" w:space="0"/>
              <w:left w:val="single" w:color="auto" w:sz="4" w:space="0"/>
              <w:bottom w:val="single" w:color="auto" w:sz="4" w:space="0"/>
              <w:right w:val="single" w:color="auto" w:sz="4" w:space="0"/>
            </w:tcBorders>
            <w:shd w:val="clear" w:color="auto" w:fill="76923C"/>
            <w:vAlign w:val="center"/>
          </w:tcPr>
          <w:p w14:paraId="2A5F38DD">
            <w:pPr>
              <w:spacing w:line="259" w:lineRule="auto"/>
              <w:rPr>
                <w:rFonts w:eastAsia="Times New Roman" w:cs="Arial"/>
                <w:b/>
                <w:bCs/>
                <w:color w:val="FFFFFF"/>
                <w:sz w:val="20"/>
                <w:szCs w:val="20"/>
              </w:rPr>
            </w:pPr>
            <w:r>
              <w:rPr>
                <w:rFonts w:eastAsia="Times New Roman" w:cs="Arial"/>
                <w:b/>
                <w:bCs/>
                <w:color w:val="FFFFFF"/>
                <w:sz w:val="20"/>
                <w:szCs w:val="20"/>
              </w:rPr>
              <w:t>Ονομασία Περιοχής</w:t>
            </w:r>
          </w:p>
        </w:tc>
        <w:tc>
          <w:tcPr>
            <w:tcW w:w="614" w:type="pct"/>
            <w:tcBorders>
              <w:top w:val="single" w:color="auto" w:sz="4" w:space="0"/>
              <w:left w:val="single" w:color="auto" w:sz="4" w:space="0"/>
              <w:bottom w:val="single" w:color="auto" w:sz="4" w:space="0"/>
              <w:right w:val="single" w:color="auto" w:sz="4" w:space="0"/>
            </w:tcBorders>
            <w:shd w:val="clear" w:color="auto" w:fill="76923C"/>
            <w:vAlign w:val="center"/>
          </w:tcPr>
          <w:p w14:paraId="22153C6C">
            <w:pPr>
              <w:spacing w:line="259" w:lineRule="auto"/>
              <w:jc w:val="center"/>
              <w:rPr>
                <w:rFonts w:eastAsia="Times New Roman" w:cs="Arial"/>
                <w:b/>
                <w:bCs/>
                <w:color w:val="FFFFFF"/>
                <w:sz w:val="20"/>
                <w:szCs w:val="20"/>
              </w:rPr>
            </w:pPr>
            <w:r>
              <w:rPr>
                <w:rFonts w:eastAsia="Times New Roman" w:cs="Arial"/>
                <w:b/>
                <w:bCs/>
                <w:color w:val="FFFFFF"/>
                <w:sz w:val="20"/>
                <w:szCs w:val="20"/>
              </w:rPr>
              <w:t>Είδος</w:t>
            </w:r>
          </w:p>
        </w:tc>
      </w:tr>
      <w:tr w14:paraId="46A2C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039" w:type="pct"/>
            <w:tcBorders>
              <w:top w:val="single" w:color="auto" w:sz="4" w:space="0"/>
              <w:left w:val="single" w:color="auto" w:sz="4" w:space="0"/>
              <w:bottom w:val="single" w:color="auto" w:sz="4" w:space="0"/>
              <w:right w:val="single" w:color="auto" w:sz="4" w:space="0"/>
            </w:tcBorders>
            <w:vAlign w:val="center"/>
          </w:tcPr>
          <w:p w14:paraId="72414CC0">
            <w:pPr>
              <w:overflowPunct w:val="0"/>
              <w:autoSpaceDE w:val="0"/>
              <w:autoSpaceDN w:val="0"/>
              <w:adjustRightInd w:val="0"/>
              <w:spacing w:before="60" w:after="60" w:line="259" w:lineRule="auto"/>
              <w:jc w:val="center"/>
              <w:textAlignment w:val="baseline"/>
              <w:rPr>
                <w:rFonts w:eastAsia="Times New Roman" w:cs="Arial"/>
                <w:sz w:val="20"/>
                <w:szCs w:val="20"/>
              </w:rPr>
            </w:pPr>
            <w:r>
              <w:rPr>
                <w:rFonts w:eastAsia="Times New Roman" w:cs="Arial"/>
                <w:sz w:val="20"/>
                <w:szCs w:val="20"/>
              </w:rPr>
              <w:t>GR3000011</w:t>
            </w:r>
          </w:p>
        </w:tc>
        <w:tc>
          <w:tcPr>
            <w:tcW w:w="3347" w:type="pct"/>
            <w:tcBorders>
              <w:top w:val="single" w:color="auto" w:sz="4" w:space="0"/>
              <w:left w:val="single" w:color="auto" w:sz="4" w:space="0"/>
              <w:bottom w:val="single" w:color="auto" w:sz="4" w:space="0"/>
              <w:right w:val="single" w:color="auto" w:sz="4" w:space="0"/>
            </w:tcBorders>
            <w:vAlign w:val="center"/>
          </w:tcPr>
          <w:p w14:paraId="4E2A66E6">
            <w:pPr>
              <w:overflowPunct w:val="0"/>
              <w:autoSpaceDE w:val="0"/>
              <w:autoSpaceDN w:val="0"/>
              <w:adjustRightInd w:val="0"/>
              <w:spacing w:before="60" w:after="60" w:line="259" w:lineRule="auto"/>
              <w:textAlignment w:val="baseline"/>
              <w:rPr>
                <w:rFonts w:eastAsia="Times New Roman" w:cs="Arial"/>
                <w:sz w:val="20"/>
                <w:szCs w:val="20"/>
                <w:lang w:val="el-GR"/>
              </w:rPr>
            </w:pPr>
            <w:r>
              <w:rPr>
                <w:rFonts w:eastAsia="Times New Roman" w:cs="Arial"/>
                <w:sz w:val="20"/>
                <w:szCs w:val="20"/>
                <w:lang w:val="el-GR"/>
              </w:rPr>
              <w:t>Μυρτώο Πέλαγος: Φαλκονέρα, Βελοπούλα, Ανανές και θαλάσσια ζώνη</w:t>
            </w:r>
          </w:p>
        </w:tc>
        <w:tc>
          <w:tcPr>
            <w:tcW w:w="614" w:type="pct"/>
            <w:tcBorders>
              <w:top w:val="single" w:color="auto" w:sz="4" w:space="0"/>
              <w:left w:val="single" w:color="auto" w:sz="4" w:space="0"/>
              <w:bottom w:val="single" w:color="auto" w:sz="4" w:space="0"/>
              <w:right w:val="single" w:color="auto" w:sz="4" w:space="0"/>
            </w:tcBorders>
            <w:vAlign w:val="center"/>
          </w:tcPr>
          <w:p w14:paraId="4BBA56DA">
            <w:pPr>
              <w:overflowPunct w:val="0"/>
              <w:autoSpaceDE w:val="0"/>
              <w:autoSpaceDN w:val="0"/>
              <w:adjustRightInd w:val="0"/>
              <w:spacing w:before="60" w:after="60" w:line="259" w:lineRule="auto"/>
              <w:jc w:val="center"/>
              <w:textAlignment w:val="baseline"/>
              <w:rPr>
                <w:rFonts w:eastAsia="Times New Roman" w:cs="Arial"/>
                <w:sz w:val="20"/>
                <w:szCs w:val="20"/>
              </w:rPr>
            </w:pPr>
            <w:r>
              <w:rPr>
                <w:rFonts w:eastAsia="Times New Roman" w:cs="Arial"/>
                <w:sz w:val="20"/>
                <w:szCs w:val="20"/>
              </w:rPr>
              <w:t>ΖΕΠ</w:t>
            </w:r>
          </w:p>
        </w:tc>
      </w:tr>
      <w:tr w14:paraId="15166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039" w:type="pct"/>
            <w:tcBorders>
              <w:top w:val="single" w:color="auto" w:sz="4" w:space="0"/>
              <w:left w:val="single" w:color="auto" w:sz="4" w:space="0"/>
              <w:bottom w:val="single" w:color="auto" w:sz="4" w:space="0"/>
              <w:right w:val="single" w:color="auto" w:sz="4" w:space="0"/>
            </w:tcBorders>
            <w:vAlign w:val="center"/>
          </w:tcPr>
          <w:p w14:paraId="6D96DCA3">
            <w:pPr>
              <w:overflowPunct w:val="0"/>
              <w:autoSpaceDE w:val="0"/>
              <w:autoSpaceDN w:val="0"/>
              <w:adjustRightInd w:val="0"/>
              <w:spacing w:before="60" w:after="60" w:line="259" w:lineRule="auto"/>
              <w:jc w:val="center"/>
              <w:textAlignment w:val="baseline"/>
              <w:rPr>
                <w:rFonts w:eastAsia="Times New Roman" w:cs="Arial"/>
                <w:sz w:val="20"/>
                <w:szCs w:val="20"/>
              </w:rPr>
            </w:pPr>
            <w:r>
              <w:rPr>
                <w:rFonts w:eastAsia="Times New Roman" w:cs="Arial"/>
                <w:sz w:val="20"/>
                <w:szCs w:val="20"/>
              </w:rPr>
              <w:t>GR4210011</w:t>
            </w:r>
          </w:p>
        </w:tc>
        <w:tc>
          <w:tcPr>
            <w:tcW w:w="3347" w:type="pct"/>
            <w:tcBorders>
              <w:top w:val="single" w:color="auto" w:sz="4" w:space="0"/>
              <w:left w:val="single" w:color="auto" w:sz="4" w:space="0"/>
              <w:bottom w:val="single" w:color="auto" w:sz="4" w:space="0"/>
              <w:right w:val="single" w:color="auto" w:sz="4" w:space="0"/>
            </w:tcBorders>
            <w:vAlign w:val="center"/>
          </w:tcPr>
          <w:p w14:paraId="4F9B4975">
            <w:pPr>
              <w:overflowPunct w:val="0"/>
              <w:autoSpaceDE w:val="0"/>
              <w:autoSpaceDN w:val="0"/>
              <w:adjustRightInd w:val="0"/>
              <w:spacing w:before="60" w:after="60" w:line="259" w:lineRule="auto"/>
              <w:textAlignment w:val="baseline"/>
              <w:rPr>
                <w:rFonts w:eastAsia="Times New Roman" w:cs="Arial"/>
                <w:sz w:val="20"/>
                <w:szCs w:val="20"/>
                <w:lang w:val="el-GR"/>
              </w:rPr>
            </w:pPr>
            <w:r>
              <w:rPr>
                <w:rFonts w:eastAsia="Times New Roman" w:cs="Arial"/>
                <w:sz w:val="20"/>
                <w:szCs w:val="20"/>
                <w:lang w:val="el-GR"/>
              </w:rPr>
              <w:t>Νότιο Αιγαίο: Βελοπούλα, Φαλκονέρα, Ανανές, Χριστιάνα, Παχειά, Φτενό, Μακρά, Αστακιδονήσια, Σύρνα – Γύρω νησιά και θαλάσσια ζώνη</w:t>
            </w:r>
          </w:p>
        </w:tc>
        <w:tc>
          <w:tcPr>
            <w:tcW w:w="614" w:type="pct"/>
            <w:tcBorders>
              <w:top w:val="single" w:color="auto" w:sz="4" w:space="0"/>
              <w:left w:val="single" w:color="auto" w:sz="4" w:space="0"/>
              <w:bottom w:val="single" w:color="auto" w:sz="4" w:space="0"/>
              <w:right w:val="single" w:color="auto" w:sz="4" w:space="0"/>
            </w:tcBorders>
            <w:vAlign w:val="center"/>
          </w:tcPr>
          <w:p w14:paraId="135DEB3E">
            <w:pPr>
              <w:overflowPunct w:val="0"/>
              <w:autoSpaceDE w:val="0"/>
              <w:autoSpaceDN w:val="0"/>
              <w:adjustRightInd w:val="0"/>
              <w:spacing w:before="60" w:after="60" w:line="259" w:lineRule="auto"/>
              <w:jc w:val="center"/>
              <w:textAlignment w:val="baseline"/>
              <w:rPr>
                <w:rFonts w:eastAsia="Times New Roman" w:cs="Arial"/>
                <w:sz w:val="20"/>
                <w:szCs w:val="20"/>
              </w:rPr>
            </w:pPr>
            <w:r>
              <w:rPr>
                <w:rFonts w:eastAsia="Times New Roman" w:cs="Arial"/>
                <w:sz w:val="20"/>
                <w:szCs w:val="20"/>
              </w:rPr>
              <w:t>ΕΖΔ</w:t>
            </w:r>
          </w:p>
        </w:tc>
      </w:tr>
      <w:tr w14:paraId="0BC55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039" w:type="pct"/>
            <w:tcBorders>
              <w:top w:val="single" w:color="auto" w:sz="4" w:space="0"/>
              <w:left w:val="single" w:color="auto" w:sz="4" w:space="0"/>
              <w:bottom w:val="single" w:color="auto" w:sz="4" w:space="0"/>
              <w:right w:val="single" w:color="auto" w:sz="4" w:space="0"/>
            </w:tcBorders>
            <w:vAlign w:val="center"/>
          </w:tcPr>
          <w:p w14:paraId="1750AB49">
            <w:pPr>
              <w:overflowPunct w:val="0"/>
              <w:autoSpaceDE w:val="0"/>
              <w:autoSpaceDN w:val="0"/>
              <w:adjustRightInd w:val="0"/>
              <w:spacing w:before="60" w:after="60" w:line="259" w:lineRule="auto"/>
              <w:jc w:val="center"/>
              <w:textAlignment w:val="baseline"/>
              <w:rPr>
                <w:rFonts w:eastAsia="Times New Roman" w:cs="Arial"/>
                <w:sz w:val="20"/>
                <w:szCs w:val="20"/>
              </w:rPr>
            </w:pPr>
            <w:r>
              <w:rPr>
                <w:rFonts w:eastAsia="Times New Roman" w:cs="Arial"/>
                <w:sz w:val="20"/>
                <w:szCs w:val="20"/>
              </w:rPr>
              <w:t>GR4210020</w:t>
            </w:r>
          </w:p>
        </w:tc>
        <w:tc>
          <w:tcPr>
            <w:tcW w:w="3347" w:type="pct"/>
            <w:tcBorders>
              <w:top w:val="single" w:color="auto" w:sz="4" w:space="0"/>
              <w:left w:val="single" w:color="auto" w:sz="4" w:space="0"/>
              <w:bottom w:val="single" w:color="auto" w:sz="4" w:space="0"/>
              <w:right w:val="single" w:color="auto" w:sz="4" w:space="0"/>
            </w:tcBorders>
            <w:vAlign w:val="center"/>
          </w:tcPr>
          <w:p w14:paraId="0CC7CADE">
            <w:pPr>
              <w:overflowPunct w:val="0"/>
              <w:autoSpaceDE w:val="0"/>
              <w:autoSpaceDN w:val="0"/>
              <w:adjustRightInd w:val="0"/>
              <w:spacing w:before="60" w:after="60" w:line="259" w:lineRule="auto"/>
              <w:textAlignment w:val="baseline"/>
              <w:rPr>
                <w:rFonts w:eastAsia="Times New Roman" w:cs="Arial"/>
                <w:sz w:val="20"/>
                <w:szCs w:val="20"/>
                <w:lang w:val="el-GR"/>
              </w:rPr>
            </w:pPr>
            <w:r>
              <w:rPr>
                <w:rFonts w:eastAsia="Times New Roman" w:cs="Arial"/>
                <w:sz w:val="20"/>
                <w:szCs w:val="20"/>
                <w:lang w:val="el-GR"/>
              </w:rPr>
              <w:t>Κίναρος, Λέβιθα, Λιαδιά, Πλάκα, Γλάρος, Μαύρα και θαλάσσια περιοχή</w:t>
            </w:r>
          </w:p>
        </w:tc>
        <w:tc>
          <w:tcPr>
            <w:tcW w:w="614" w:type="pct"/>
            <w:tcBorders>
              <w:top w:val="single" w:color="auto" w:sz="4" w:space="0"/>
              <w:left w:val="single" w:color="auto" w:sz="4" w:space="0"/>
              <w:bottom w:val="single" w:color="auto" w:sz="4" w:space="0"/>
              <w:right w:val="single" w:color="auto" w:sz="4" w:space="0"/>
            </w:tcBorders>
            <w:vAlign w:val="center"/>
          </w:tcPr>
          <w:p w14:paraId="67BE54BA">
            <w:pPr>
              <w:overflowPunct w:val="0"/>
              <w:autoSpaceDE w:val="0"/>
              <w:autoSpaceDN w:val="0"/>
              <w:adjustRightInd w:val="0"/>
              <w:spacing w:before="60" w:after="60" w:line="259" w:lineRule="auto"/>
              <w:jc w:val="center"/>
              <w:textAlignment w:val="baseline"/>
              <w:rPr>
                <w:rFonts w:eastAsia="Times New Roman" w:cs="Arial"/>
                <w:sz w:val="20"/>
                <w:szCs w:val="20"/>
              </w:rPr>
            </w:pPr>
            <w:r>
              <w:rPr>
                <w:rFonts w:eastAsia="Times New Roman" w:cs="Arial"/>
                <w:sz w:val="20"/>
                <w:szCs w:val="20"/>
              </w:rPr>
              <w:t>ΖΕΠ</w:t>
            </w:r>
          </w:p>
        </w:tc>
      </w:tr>
      <w:tr w14:paraId="37C21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039" w:type="pct"/>
            <w:tcBorders>
              <w:top w:val="single" w:color="auto" w:sz="4" w:space="0"/>
              <w:left w:val="single" w:color="auto" w:sz="4" w:space="0"/>
              <w:bottom w:val="single" w:color="auto" w:sz="4" w:space="0"/>
              <w:right w:val="single" w:color="auto" w:sz="4" w:space="0"/>
            </w:tcBorders>
            <w:vAlign w:val="center"/>
          </w:tcPr>
          <w:p w14:paraId="2CE527DF">
            <w:pPr>
              <w:overflowPunct w:val="0"/>
              <w:autoSpaceDE w:val="0"/>
              <w:autoSpaceDN w:val="0"/>
              <w:adjustRightInd w:val="0"/>
              <w:spacing w:before="60" w:after="60" w:line="259" w:lineRule="auto"/>
              <w:jc w:val="center"/>
              <w:textAlignment w:val="baseline"/>
              <w:rPr>
                <w:rFonts w:eastAsia="Times New Roman" w:cs="Arial"/>
                <w:sz w:val="20"/>
                <w:szCs w:val="20"/>
              </w:rPr>
            </w:pPr>
            <w:r>
              <w:rPr>
                <w:rFonts w:eastAsia="Times New Roman" w:cs="Arial"/>
                <w:sz w:val="20"/>
                <w:szCs w:val="20"/>
              </w:rPr>
              <w:t>GR4220002</w:t>
            </w:r>
          </w:p>
        </w:tc>
        <w:tc>
          <w:tcPr>
            <w:tcW w:w="3347" w:type="pct"/>
            <w:tcBorders>
              <w:top w:val="single" w:color="auto" w:sz="4" w:space="0"/>
              <w:left w:val="single" w:color="auto" w:sz="4" w:space="0"/>
              <w:bottom w:val="single" w:color="auto" w:sz="4" w:space="0"/>
              <w:right w:val="single" w:color="auto" w:sz="4" w:space="0"/>
            </w:tcBorders>
            <w:vAlign w:val="center"/>
          </w:tcPr>
          <w:p w14:paraId="6E376FA0">
            <w:pPr>
              <w:overflowPunct w:val="0"/>
              <w:autoSpaceDE w:val="0"/>
              <w:autoSpaceDN w:val="0"/>
              <w:adjustRightInd w:val="0"/>
              <w:spacing w:before="60" w:after="60" w:line="259" w:lineRule="auto"/>
              <w:textAlignment w:val="baseline"/>
              <w:rPr>
                <w:rFonts w:eastAsia="Times New Roman" w:cs="Arial"/>
                <w:sz w:val="20"/>
                <w:szCs w:val="20"/>
              </w:rPr>
            </w:pPr>
            <w:r>
              <w:rPr>
                <w:rFonts w:eastAsia="Times New Roman" w:cs="Arial"/>
                <w:sz w:val="20"/>
                <w:szCs w:val="20"/>
              </w:rPr>
              <w:t>Ανάφη: Χερσόνησος Κάλαμος – Ρούκουνας</w:t>
            </w:r>
          </w:p>
        </w:tc>
        <w:tc>
          <w:tcPr>
            <w:tcW w:w="614" w:type="pct"/>
            <w:tcBorders>
              <w:top w:val="single" w:color="auto" w:sz="4" w:space="0"/>
              <w:left w:val="single" w:color="auto" w:sz="4" w:space="0"/>
              <w:bottom w:val="single" w:color="auto" w:sz="4" w:space="0"/>
              <w:right w:val="single" w:color="auto" w:sz="4" w:space="0"/>
            </w:tcBorders>
            <w:vAlign w:val="center"/>
          </w:tcPr>
          <w:p w14:paraId="5FC23041">
            <w:pPr>
              <w:overflowPunct w:val="0"/>
              <w:autoSpaceDE w:val="0"/>
              <w:autoSpaceDN w:val="0"/>
              <w:adjustRightInd w:val="0"/>
              <w:spacing w:before="60" w:after="60" w:line="259" w:lineRule="auto"/>
              <w:jc w:val="center"/>
              <w:textAlignment w:val="baseline"/>
              <w:rPr>
                <w:rFonts w:eastAsia="Times New Roman" w:cs="Arial"/>
                <w:sz w:val="20"/>
                <w:szCs w:val="20"/>
              </w:rPr>
            </w:pPr>
            <w:r>
              <w:rPr>
                <w:rFonts w:eastAsia="Times New Roman" w:cs="Arial"/>
                <w:sz w:val="20"/>
                <w:szCs w:val="20"/>
              </w:rPr>
              <w:t>ΕΖΔ</w:t>
            </w:r>
          </w:p>
        </w:tc>
      </w:tr>
      <w:tr w14:paraId="63C2A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039" w:type="pct"/>
            <w:tcBorders>
              <w:top w:val="single" w:color="auto" w:sz="4" w:space="0"/>
              <w:left w:val="single" w:color="auto" w:sz="4" w:space="0"/>
              <w:bottom w:val="single" w:color="auto" w:sz="4" w:space="0"/>
              <w:right w:val="single" w:color="auto" w:sz="4" w:space="0"/>
            </w:tcBorders>
            <w:vAlign w:val="center"/>
          </w:tcPr>
          <w:p w14:paraId="2B70AA1F">
            <w:pPr>
              <w:overflowPunct w:val="0"/>
              <w:autoSpaceDE w:val="0"/>
              <w:autoSpaceDN w:val="0"/>
              <w:adjustRightInd w:val="0"/>
              <w:spacing w:before="60" w:after="60" w:line="259" w:lineRule="auto"/>
              <w:jc w:val="center"/>
              <w:textAlignment w:val="baseline"/>
              <w:rPr>
                <w:rFonts w:eastAsia="Times New Roman" w:cs="Arial"/>
                <w:sz w:val="20"/>
                <w:szCs w:val="20"/>
              </w:rPr>
            </w:pPr>
            <w:r>
              <w:rPr>
                <w:rFonts w:eastAsia="Times New Roman" w:cs="Arial"/>
                <w:sz w:val="20"/>
                <w:szCs w:val="20"/>
              </w:rPr>
              <w:t>GR4220003</w:t>
            </w:r>
          </w:p>
        </w:tc>
        <w:tc>
          <w:tcPr>
            <w:tcW w:w="3347" w:type="pct"/>
            <w:tcBorders>
              <w:top w:val="single" w:color="auto" w:sz="4" w:space="0"/>
              <w:left w:val="single" w:color="auto" w:sz="4" w:space="0"/>
              <w:bottom w:val="single" w:color="auto" w:sz="4" w:space="0"/>
              <w:right w:val="single" w:color="auto" w:sz="4" w:space="0"/>
            </w:tcBorders>
            <w:vAlign w:val="center"/>
          </w:tcPr>
          <w:p w14:paraId="1C3B3976">
            <w:pPr>
              <w:overflowPunct w:val="0"/>
              <w:autoSpaceDE w:val="0"/>
              <w:autoSpaceDN w:val="0"/>
              <w:adjustRightInd w:val="0"/>
              <w:spacing w:before="60" w:after="60" w:line="259" w:lineRule="auto"/>
              <w:textAlignment w:val="baseline"/>
              <w:rPr>
                <w:rFonts w:eastAsia="Times New Roman" w:cs="Arial"/>
                <w:sz w:val="20"/>
                <w:szCs w:val="20"/>
                <w:lang w:val="el-GR"/>
              </w:rPr>
            </w:pPr>
            <w:r>
              <w:rPr>
                <w:rFonts w:eastAsia="Times New Roman" w:cs="Arial"/>
                <w:sz w:val="20"/>
                <w:szCs w:val="20"/>
                <w:lang w:val="el-GR"/>
              </w:rPr>
              <w:t>Σαντορίνη: Νέα και Παλιά Καμμένη – Προφήτης Ηλίας</w:t>
            </w:r>
          </w:p>
        </w:tc>
        <w:tc>
          <w:tcPr>
            <w:tcW w:w="614" w:type="pct"/>
            <w:tcBorders>
              <w:top w:val="single" w:color="auto" w:sz="4" w:space="0"/>
              <w:left w:val="single" w:color="auto" w:sz="4" w:space="0"/>
              <w:bottom w:val="single" w:color="auto" w:sz="4" w:space="0"/>
              <w:right w:val="single" w:color="auto" w:sz="4" w:space="0"/>
            </w:tcBorders>
            <w:vAlign w:val="center"/>
          </w:tcPr>
          <w:p w14:paraId="2718214F">
            <w:pPr>
              <w:overflowPunct w:val="0"/>
              <w:autoSpaceDE w:val="0"/>
              <w:autoSpaceDN w:val="0"/>
              <w:adjustRightInd w:val="0"/>
              <w:spacing w:before="60" w:after="60" w:line="259" w:lineRule="auto"/>
              <w:jc w:val="center"/>
              <w:textAlignment w:val="baseline"/>
              <w:rPr>
                <w:rFonts w:eastAsia="Times New Roman" w:cs="Arial"/>
                <w:sz w:val="20"/>
                <w:szCs w:val="20"/>
              </w:rPr>
            </w:pPr>
            <w:r>
              <w:rPr>
                <w:rFonts w:eastAsia="Times New Roman" w:cs="Arial"/>
                <w:sz w:val="20"/>
                <w:szCs w:val="20"/>
              </w:rPr>
              <w:t>ΕΖΔ</w:t>
            </w:r>
          </w:p>
        </w:tc>
      </w:tr>
      <w:tr w14:paraId="12BEF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039" w:type="pct"/>
            <w:tcBorders>
              <w:top w:val="single" w:color="auto" w:sz="4" w:space="0"/>
              <w:left w:val="single" w:color="auto" w:sz="4" w:space="0"/>
              <w:bottom w:val="single" w:color="auto" w:sz="4" w:space="0"/>
              <w:right w:val="single" w:color="auto" w:sz="4" w:space="0"/>
            </w:tcBorders>
            <w:vAlign w:val="center"/>
          </w:tcPr>
          <w:p w14:paraId="3E37DC6D">
            <w:pPr>
              <w:overflowPunct w:val="0"/>
              <w:autoSpaceDE w:val="0"/>
              <w:autoSpaceDN w:val="0"/>
              <w:adjustRightInd w:val="0"/>
              <w:spacing w:before="60" w:after="60" w:line="259" w:lineRule="auto"/>
              <w:jc w:val="center"/>
              <w:textAlignment w:val="baseline"/>
              <w:rPr>
                <w:rFonts w:eastAsia="Times New Roman" w:cs="Arial"/>
                <w:sz w:val="20"/>
                <w:szCs w:val="20"/>
              </w:rPr>
            </w:pPr>
            <w:r>
              <w:rPr>
                <w:rFonts w:eastAsia="Times New Roman" w:cs="Arial"/>
                <w:sz w:val="20"/>
                <w:szCs w:val="20"/>
              </w:rPr>
              <w:t>GR4220004</w:t>
            </w:r>
          </w:p>
        </w:tc>
        <w:tc>
          <w:tcPr>
            <w:tcW w:w="3347" w:type="pct"/>
            <w:tcBorders>
              <w:top w:val="single" w:color="auto" w:sz="4" w:space="0"/>
              <w:left w:val="single" w:color="auto" w:sz="4" w:space="0"/>
              <w:bottom w:val="single" w:color="auto" w:sz="4" w:space="0"/>
              <w:right w:val="single" w:color="auto" w:sz="4" w:space="0"/>
            </w:tcBorders>
            <w:vAlign w:val="center"/>
          </w:tcPr>
          <w:p w14:paraId="00101B4B">
            <w:pPr>
              <w:overflowPunct w:val="0"/>
              <w:autoSpaceDE w:val="0"/>
              <w:autoSpaceDN w:val="0"/>
              <w:adjustRightInd w:val="0"/>
              <w:spacing w:before="60" w:after="60" w:line="259" w:lineRule="auto"/>
              <w:textAlignment w:val="baseline"/>
              <w:rPr>
                <w:rFonts w:eastAsia="Times New Roman" w:cs="Arial"/>
                <w:sz w:val="20"/>
                <w:szCs w:val="20"/>
                <w:lang w:val="el-GR"/>
              </w:rPr>
            </w:pPr>
            <w:r>
              <w:rPr>
                <w:rFonts w:eastAsia="Times New Roman" w:cs="Arial"/>
                <w:sz w:val="20"/>
                <w:szCs w:val="20"/>
                <w:lang w:val="el-GR"/>
              </w:rPr>
              <w:t>Φολέγανδρος ανατολική μέχρι δυτική Σίκινο και θαλάσσια ζώνη</w:t>
            </w:r>
          </w:p>
        </w:tc>
        <w:tc>
          <w:tcPr>
            <w:tcW w:w="614" w:type="pct"/>
            <w:tcBorders>
              <w:top w:val="single" w:color="auto" w:sz="4" w:space="0"/>
              <w:left w:val="single" w:color="auto" w:sz="4" w:space="0"/>
              <w:bottom w:val="single" w:color="auto" w:sz="4" w:space="0"/>
              <w:right w:val="single" w:color="auto" w:sz="4" w:space="0"/>
            </w:tcBorders>
            <w:vAlign w:val="center"/>
          </w:tcPr>
          <w:p w14:paraId="04F3A99F">
            <w:pPr>
              <w:overflowPunct w:val="0"/>
              <w:autoSpaceDE w:val="0"/>
              <w:autoSpaceDN w:val="0"/>
              <w:adjustRightInd w:val="0"/>
              <w:spacing w:before="60" w:after="60" w:line="259" w:lineRule="auto"/>
              <w:jc w:val="center"/>
              <w:textAlignment w:val="baseline"/>
              <w:rPr>
                <w:rFonts w:eastAsia="Times New Roman" w:cs="Arial"/>
                <w:sz w:val="20"/>
                <w:szCs w:val="20"/>
              </w:rPr>
            </w:pPr>
            <w:r>
              <w:rPr>
                <w:rFonts w:eastAsia="Times New Roman" w:cs="Arial"/>
                <w:sz w:val="20"/>
                <w:szCs w:val="20"/>
              </w:rPr>
              <w:t>ΕΖΔ - ΖΕΠ</w:t>
            </w:r>
          </w:p>
        </w:tc>
      </w:tr>
      <w:tr w14:paraId="47CA9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039" w:type="pct"/>
            <w:tcBorders>
              <w:top w:val="single" w:color="auto" w:sz="4" w:space="0"/>
              <w:left w:val="single" w:color="auto" w:sz="4" w:space="0"/>
              <w:bottom w:val="single" w:color="auto" w:sz="4" w:space="0"/>
              <w:right w:val="single" w:color="auto" w:sz="4" w:space="0"/>
            </w:tcBorders>
            <w:vAlign w:val="center"/>
          </w:tcPr>
          <w:p w14:paraId="42A4B20A">
            <w:pPr>
              <w:overflowPunct w:val="0"/>
              <w:autoSpaceDE w:val="0"/>
              <w:autoSpaceDN w:val="0"/>
              <w:adjustRightInd w:val="0"/>
              <w:spacing w:before="60" w:after="60" w:line="259" w:lineRule="auto"/>
              <w:jc w:val="center"/>
              <w:textAlignment w:val="baseline"/>
              <w:rPr>
                <w:rFonts w:eastAsia="Times New Roman" w:cs="Arial"/>
                <w:sz w:val="20"/>
                <w:szCs w:val="20"/>
              </w:rPr>
            </w:pPr>
            <w:r>
              <w:rPr>
                <w:rFonts w:eastAsia="Times New Roman" w:cs="Arial"/>
                <w:sz w:val="20"/>
                <w:szCs w:val="20"/>
              </w:rPr>
              <w:t>GR4220005</w:t>
            </w:r>
          </w:p>
        </w:tc>
        <w:tc>
          <w:tcPr>
            <w:tcW w:w="3347" w:type="pct"/>
            <w:tcBorders>
              <w:top w:val="single" w:color="auto" w:sz="4" w:space="0"/>
              <w:left w:val="single" w:color="auto" w:sz="4" w:space="0"/>
              <w:bottom w:val="single" w:color="auto" w:sz="4" w:space="0"/>
              <w:right w:val="single" w:color="auto" w:sz="4" w:space="0"/>
            </w:tcBorders>
            <w:vAlign w:val="center"/>
          </w:tcPr>
          <w:p w14:paraId="434EF6D4">
            <w:pPr>
              <w:overflowPunct w:val="0"/>
              <w:autoSpaceDE w:val="0"/>
              <w:autoSpaceDN w:val="0"/>
              <w:adjustRightInd w:val="0"/>
              <w:spacing w:before="60" w:after="60" w:line="259" w:lineRule="auto"/>
              <w:textAlignment w:val="baseline"/>
              <w:rPr>
                <w:rFonts w:eastAsia="Times New Roman" w:cs="Arial"/>
                <w:sz w:val="20"/>
                <w:szCs w:val="20"/>
              </w:rPr>
            </w:pPr>
            <w:r>
              <w:rPr>
                <w:rFonts w:eastAsia="Times New Roman" w:cs="Arial"/>
                <w:sz w:val="20"/>
                <w:szCs w:val="20"/>
              </w:rPr>
              <w:t>Παράκτια ζώνη δυτικής Μήλου</w:t>
            </w:r>
          </w:p>
        </w:tc>
        <w:tc>
          <w:tcPr>
            <w:tcW w:w="614" w:type="pct"/>
            <w:tcBorders>
              <w:top w:val="single" w:color="auto" w:sz="4" w:space="0"/>
              <w:left w:val="single" w:color="auto" w:sz="4" w:space="0"/>
              <w:bottom w:val="single" w:color="auto" w:sz="4" w:space="0"/>
              <w:right w:val="single" w:color="auto" w:sz="4" w:space="0"/>
            </w:tcBorders>
            <w:vAlign w:val="center"/>
          </w:tcPr>
          <w:p w14:paraId="475FF86F">
            <w:pPr>
              <w:overflowPunct w:val="0"/>
              <w:autoSpaceDE w:val="0"/>
              <w:autoSpaceDN w:val="0"/>
              <w:adjustRightInd w:val="0"/>
              <w:spacing w:before="60" w:after="60" w:line="259" w:lineRule="auto"/>
              <w:jc w:val="center"/>
              <w:textAlignment w:val="baseline"/>
              <w:rPr>
                <w:rFonts w:eastAsia="Times New Roman" w:cs="Arial"/>
                <w:sz w:val="20"/>
                <w:szCs w:val="20"/>
              </w:rPr>
            </w:pPr>
            <w:r>
              <w:rPr>
                <w:rFonts w:eastAsia="Times New Roman" w:cs="Arial"/>
                <w:sz w:val="20"/>
                <w:szCs w:val="20"/>
              </w:rPr>
              <w:t>ΕΖΔ</w:t>
            </w:r>
          </w:p>
        </w:tc>
      </w:tr>
      <w:tr w14:paraId="37327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039" w:type="pct"/>
            <w:tcBorders>
              <w:top w:val="single" w:color="auto" w:sz="4" w:space="0"/>
              <w:left w:val="single" w:color="auto" w:sz="4" w:space="0"/>
              <w:bottom w:val="single" w:color="auto" w:sz="4" w:space="0"/>
              <w:right w:val="single" w:color="auto" w:sz="4" w:space="0"/>
            </w:tcBorders>
            <w:vAlign w:val="center"/>
          </w:tcPr>
          <w:p w14:paraId="420A5C46">
            <w:pPr>
              <w:overflowPunct w:val="0"/>
              <w:autoSpaceDE w:val="0"/>
              <w:autoSpaceDN w:val="0"/>
              <w:adjustRightInd w:val="0"/>
              <w:spacing w:before="60" w:after="60" w:line="259" w:lineRule="auto"/>
              <w:jc w:val="center"/>
              <w:textAlignment w:val="baseline"/>
              <w:rPr>
                <w:rFonts w:eastAsia="Times New Roman" w:cs="Arial"/>
                <w:sz w:val="20"/>
                <w:szCs w:val="20"/>
              </w:rPr>
            </w:pPr>
            <w:r>
              <w:rPr>
                <w:rFonts w:eastAsia="Times New Roman" w:cs="Arial"/>
                <w:sz w:val="20"/>
                <w:szCs w:val="20"/>
              </w:rPr>
              <w:t>GR4220006</w:t>
            </w:r>
          </w:p>
        </w:tc>
        <w:tc>
          <w:tcPr>
            <w:tcW w:w="3347" w:type="pct"/>
            <w:tcBorders>
              <w:top w:val="single" w:color="auto" w:sz="4" w:space="0"/>
              <w:left w:val="single" w:color="auto" w:sz="4" w:space="0"/>
              <w:bottom w:val="single" w:color="auto" w:sz="4" w:space="0"/>
              <w:right w:val="single" w:color="auto" w:sz="4" w:space="0"/>
            </w:tcBorders>
            <w:vAlign w:val="center"/>
          </w:tcPr>
          <w:p w14:paraId="2282C7EB">
            <w:pPr>
              <w:overflowPunct w:val="0"/>
              <w:autoSpaceDE w:val="0"/>
              <w:autoSpaceDN w:val="0"/>
              <w:adjustRightInd w:val="0"/>
              <w:spacing w:before="60" w:after="60" w:line="259" w:lineRule="auto"/>
              <w:textAlignment w:val="baseline"/>
              <w:rPr>
                <w:rFonts w:eastAsia="Times New Roman" w:cs="Arial"/>
                <w:sz w:val="20"/>
                <w:szCs w:val="20"/>
              </w:rPr>
            </w:pPr>
            <w:r>
              <w:rPr>
                <w:rFonts w:eastAsia="Times New Roman" w:cs="Arial"/>
                <w:sz w:val="20"/>
                <w:szCs w:val="20"/>
              </w:rPr>
              <w:t>Πολύαιγος – Κίμωλος</w:t>
            </w:r>
          </w:p>
        </w:tc>
        <w:tc>
          <w:tcPr>
            <w:tcW w:w="614" w:type="pct"/>
            <w:tcBorders>
              <w:top w:val="single" w:color="auto" w:sz="4" w:space="0"/>
              <w:left w:val="single" w:color="auto" w:sz="4" w:space="0"/>
              <w:bottom w:val="single" w:color="auto" w:sz="4" w:space="0"/>
              <w:right w:val="single" w:color="auto" w:sz="4" w:space="0"/>
            </w:tcBorders>
            <w:vAlign w:val="center"/>
          </w:tcPr>
          <w:p w14:paraId="0E3C37B9">
            <w:pPr>
              <w:overflowPunct w:val="0"/>
              <w:autoSpaceDE w:val="0"/>
              <w:autoSpaceDN w:val="0"/>
              <w:adjustRightInd w:val="0"/>
              <w:spacing w:before="60" w:after="60" w:line="259" w:lineRule="auto"/>
              <w:jc w:val="center"/>
              <w:textAlignment w:val="baseline"/>
              <w:rPr>
                <w:rFonts w:eastAsia="Times New Roman" w:cs="Arial"/>
                <w:sz w:val="20"/>
                <w:szCs w:val="20"/>
              </w:rPr>
            </w:pPr>
            <w:r>
              <w:rPr>
                <w:rFonts w:eastAsia="Times New Roman" w:cs="Arial"/>
                <w:sz w:val="20"/>
                <w:szCs w:val="20"/>
              </w:rPr>
              <w:t>ΕΖΔ</w:t>
            </w:r>
          </w:p>
        </w:tc>
      </w:tr>
      <w:tr w14:paraId="071FB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039" w:type="pct"/>
            <w:tcBorders>
              <w:top w:val="single" w:color="auto" w:sz="4" w:space="0"/>
              <w:left w:val="single" w:color="auto" w:sz="4" w:space="0"/>
              <w:bottom w:val="single" w:color="auto" w:sz="4" w:space="0"/>
              <w:right w:val="single" w:color="auto" w:sz="4" w:space="0"/>
            </w:tcBorders>
            <w:vAlign w:val="center"/>
          </w:tcPr>
          <w:p w14:paraId="25A36085">
            <w:pPr>
              <w:overflowPunct w:val="0"/>
              <w:autoSpaceDE w:val="0"/>
              <w:autoSpaceDN w:val="0"/>
              <w:adjustRightInd w:val="0"/>
              <w:spacing w:before="60" w:after="60" w:line="259" w:lineRule="auto"/>
              <w:jc w:val="center"/>
              <w:textAlignment w:val="baseline"/>
              <w:rPr>
                <w:rFonts w:eastAsia="Times New Roman" w:cs="Arial"/>
                <w:sz w:val="20"/>
                <w:szCs w:val="20"/>
              </w:rPr>
            </w:pPr>
            <w:r>
              <w:rPr>
                <w:rFonts w:eastAsia="Times New Roman" w:cs="Arial"/>
                <w:sz w:val="20"/>
                <w:szCs w:val="20"/>
              </w:rPr>
              <w:t>GR4220007</w:t>
            </w:r>
          </w:p>
        </w:tc>
        <w:tc>
          <w:tcPr>
            <w:tcW w:w="3347" w:type="pct"/>
            <w:tcBorders>
              <w:top w:val="single" w:color="auto" w:sz="4" w:space="0"/>
              <w:left w:val="single" w:color="auto" w:sz="4" w:space="0"/>
              <w:bottom w:val="single" w:color="auto" w:sz="4" w:space="0"/>
              <w:right w:val="single" w:color="auto" w:sz="4" w:space="0"/>
            </w:tcBorders>
            <w:vAlign w:val="center"/>
          </w:tcPr>
          <w:p w14:paraId="07BAA5E9">
            <w:pPr>
              <w:overflowPunct w:val="0"/>
              <w:autoSpaceDE w:val="0"/>
              <w:autoSpaceDN w:val="0"/>
              <w:adjustRightInd w:val="0"/>
              <w:spacing w:before="60" w:after="60" w:line="259" w:lineRule="auto"/>
              <w:textAlignment w:val="baseline"/>
              <w:rPr>
                <w:rFonts w:eastAsia="Times New Roman" w:cs="Arial"/>
                <w:sz w:val="20"/>
                <w:szCs w:val="20"/>
                <w:lang w:val="el-GR"/>
              </w:rPr>
            </w:pPr>
            <w:r>
              <w:rPr>
                <w:rFonts w:eastAsia="Times New Roman" w:cs="Arial"/>
                <w:sz w:val="20"/>
                <w:szCs w:val="20"/>
                <w:lang w:val="el-GR"/>
              </w:rPr>
              <w:t>Αντίμηλος – θαλάσσια παράκτια ζώνη</w:t>
            </w:r>
          </w:p>
        </w:tc>
        <w:tc>
          <w:tcPr>
            <w:tcW w:w="614" w:type="pct"/>
            <w:tcBorders>
              <w:top w:val="single" w:color="auto" w:sz="4" w:space="0"/>
              <w:left w:val="single" w:color="auto" w:sz="4" w:space="0"/>
              <w:bottom w:val="single" w:color="auto" w:sz="4" w:space="0"/>
              <w:right w:val="single" w:color="auto" w:sz="4" w:space="0"/>
            </w:tcBorders>
            <w:vAlign w:val="center"/>
          </w:tcPr>
          <w:p w14:paraId="1E7B9C16">
            <w:pPr>
              <w:overflowPunct w:val="0"/>
              <w:autoSpaceDE w:val="0"/>
              <w:autoSpaceDN w:val="0"/>
              <w:adjustRightInd w:val="0"/>
              <w:spacing w:before="60" w:after="60" w:line="259" w:lineRule="auto"/>
              <w:jc w:val="center"/>
              <w:textAlignment w:val="baseline"/>
              <w:rPr>
                <w:rFonts w:eastAsia="Times New Roman" w:cs="Arial"/>
                <w:sz w:val="20"/>
                <w:szCs w:val="20"/>
              </w:rPr>
            </w:pPr>
            <w:r>
              <w:rPr>
                <w:rFonts w:eastAsia="Times New Roman" w:cs="Arial"/>
                <w:sz w:val="20"/>
                <w:szCs w:val="20"/>
              </w:rPr>
              <w:t>ΕΖΔ</w:t>
            </w:r>
          </w:p>
        </w:tc>
      </w:tr>
      <w:tr w14:paraId="66076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039" w:type="pct"/>
            <w:tcBorders>
              <w:top w:val="single" w:color="auto" w:sz="4" w:space="0"/>
              <w:left w:val="single" w:color="auto" w:sz="4" w:space="0"/>
              <w:bottom w:val="single" w:color="auto" w:sz="4" w:space="0"/>
              <w:right w:val="single" w:color="auto" w:sz="4" w:space="0"/>
            </w:tcBorders>
            <w:vAlign w:val="center"/>
          </w:tcPr>
          <w:p w14:paraId="66385E4C">
            <w:pPr>
              <w:overflowPunct w:val="0"/>
              <w:autoSpaceDE w:val="0"/>
              <w:autoSpaceDN w:val="0"/>
              <w:adjustRightInd w:val="0"/>
              <w:spacing w:before="60" w:after="60" w:line="259" w:lineRule="auto"/>
              <w:jc w:val="center"/>
              <w:textAlignment w:val="baseline"/>
              <w:rPr>
                <w:rFonts w:eastAsia="Times New Roman" w:cs="Arial"/>
                <w:color w:val="000000"/>
                <w:sz w:val="20"/>
                <w:szCs w:val="20"/>
              </w:rPr>
            </w:pPr>
            <w:r>
              <w:rPr>
                <w:rFonts w:eastAsia="Times New Roman" w:cs="Arial"/>
                <w:color w:val="000000"/>
                <w:sz w:val="20"/>
                <w:szCs w:val="20"/>
              </w:rPr>
              <w:t>GR4220012</w:t>
            </w:r>
          </w:p>
        </w:tc>
        <w:tc>
          <w:tcPr>
            <w:tcW w:w="3347" w:type="pct"/>
            <w:tcBorders>
              <w:top w:val="single" w:color="auto" w:sz="4" w:space="0"/>
              <w:left w:val="single" w:color="auto" w:sz="4" w:space="0"/>
              <w:bottom w:val="single" w:color="auto" w:sz="4" w:space="0"/>
              <w:right w:val="single" w:color="auto" w:sz="4" w:space="0"/>
            </w:tcBorders>
            <w:vAlign w:val="center"/>
          </w:tcPr>
          <w:p w14:paraId="1B867249">
            <w:pPr>
              <w:overflowPunct w:val="0"/>
              <w:autoSpaceDE w:val="0"/>
              <w:autoSpaceDN w:val="0"/>
              <w:adjustRightInd w:val="0"/>
              <w:spacing w:before="60" w:after="60" w:line="259" w:lineRule="auto"/>
              <w:textAlignment w:val="baseline"/>
              <w:rPr>
                <w:rFonts w:eastAsia="Times New Roman" w:cs="Arial"/>
                <w:color w:val="000000"/>
                <w:sz w:val="20"/>
                <w:szCs w:val="20"/>
                <w:lang w:val="el-GR"/>
              </w:rPr>
            </w:pPr>
            <w:r>
              <w:rPr>
                <w:rFonts w:eastAsia="Times New Roman" w:cs="Arial"/>
                <w:color w:val="000000"/>
                <w:sz w:val="20"/>
                <w:szCs w:val="20"/>
                <w:lang w:val="el-GR"/>
              </w:rPr>
              <w:t>Βόρεια Αμοργός και Κίναρος, Λεβιθά, Μαύρα, Γλάρος και θαλάσσια ζώνη</w:t>
            </w:r>
          </w:p>
        </w:tc>
        <w:tc>
          <w:tcPr>
            <w:tcW w:w="614" w:type="pct"/>
            <w:tcBorders>
              <w:top w:val="single" w:color="auto" w:sz="4" w:space="0"/>
              <w:left w:val="single" w:color="auto" w:sz="4" w:space="0"/>
              <w:bottom w:val="single" w:color="auto" w:sz="4" w:space="0"/>
              <w:right w:val="single" w:color="auto" w:sz="4" w:space="0"/>
            </w:tcBorders>
            <w:vAlign w:val="center"/>
          </w:tcPr>
          <w:p w14:paraId="0FDB2AD9">
            <w:pPr>
              <w:overflowPunct w:val="0"/>
              <w:autoSpaceDE w:val="0"/>
              <w:autoSpaceDN w:val="0"/>
              <w:adjustRightInd w:val="0"/>
              <w:spacing w:before="60" w:after="60" w:line="259" w:lineRule="auto"/>
              <w:jc w:val="center"/>
              <w:textAlignment w:val="baseline"/>
              <w:rPr>
                <w:rFonts w:eastAsia="Times New Roman" w:cs="Arial"/>
                <w:color w:val="000000"/>
                <w:sz w:val="20"/>
                <w:szCs w:val="20"/>
              </w:rPr>
            </w:pPr>
            <w:r>
              <w:rPr>
                <w:rFonts w:eastAsia="Times New Roman" w:cs="Arial"/>
                <w:color w:val="000000"/>
                <w:sz w:val="20"/>
                <w:szCs w:val="20"/>
              </w:rPr>
              <w:t>ΕΖΔ</w:t>
            </w:r>
          </w:p>
        </w:tc>
      </w:tr>
      <w:tr w14:paraId="0D8BC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039" w:type="pct"/>
            <w:tcBorders>
              <w:top w:val="single" w:color="auto" w:sz="4" w:space="0"/>
              <w:left w:val="single" w:color="auto" w:sz="4" w:space="0"/>
              <w:bottom w:val="single" w:color="auto" w:sz="4" w:space="0"/>
              <w:right w:val="single" w:color="auto" w:sz="4" w:space="0"/>
            </w:tcBorders>
            <w:vAlign w:val="center"/>
          </w:tcPr>
          <w:p w14:paraId="464E0CFE">
            <w:pPr>
              <w:overflowPunct w:val="0"/>
              <w:autoSpaceDE w:val="0"/>
              <w:autoSpaceDN w:val="0"/>
              <w:adjustRightInd w:val="0"/>
              <w:spacing w:before="60" w:after="60" w:line="259" w:lineRule="auto"/>
              <w:jc w:val="center"/>
              <w:textAlignment w:val="baseline"/>
              <w:rPr>
                <w:rFonts w:eastAsia="Times New Roman" w:cs="Arial"/>
                <w:color w:val="000000"/>
                <w:sz w:val="20"/>
                <w:szCs w:val="20"/>
              </w:rPr>
            </w:pPr>
            <w:r>
              <w:rPr>
                <w:rFonts w:eastAsia="Times New Roman" w:cs="Arial"/>
                <w:color w:val="000000"/>
                <w:sz w:val="20"/>
                <w:szCs w:val="20"/>
              </w:rPr>
              <w:t>GR4220013</w:t>
            </w:r>
          </w:p>
        </w:tc>
        <w:tc>
          <w:tcPr>
            <w:tcW w:w="3347" w:type="pct"/>
            <w:tcBorders>
              <w:top w:val="single" w:color="auto" w:sz="4" w:space="0"/>
              <w:left w:val="single" w:color="auto" w:sz="4" w:space="0"/>
              <w:bottom w:val="single" w:color="auto" w:sz="4" w:space="0"/>
              <w:right w:val="single" w:color="auto" w:sz="4" w:space="0"/>
            </w:tcBorders>
            <w:vAlign w:val="center"/>
          </w:tcPr>
          <w:p w14:paraId="3B5557A5">
            <w:pPr>
              <w:overflowPunct w:val="0"/>
              <w:autoSpaceDE w:val="0"/>
              <w:autoSpaceDN w:val="0"/>
              <w:adjustRightInd w:val="0"/>
              <w:spacing w:before="60" w:after="60" w:line="259" w:lineRule="auto"/>
              <w:textAlignment w:val="baseline"/>
              <w:rPr>
                <w:rFonts w:eastAsia="Times New Roman" w:cs="Arial"/>
                <w:color w:val="000000"/>
                <w:sz w:val="20"/>
                <w:szCs w:val="20"/>
                <w:lang w:val="el-GR"/>
              </w:rPr>
            </w:pPr>
            <w:r>
              <w:rPr>
                <w:rFonts w:eastAsia="Times New Roman" w:cs="Arial"/>
                <w:color w:val="000000"/>
                <w:sz w:val="20"/>
                <w:szCs w:val="20"/>
                <w:lang w:val="el-GR"/>
              </w:rPr>
              <w:t>Μικρές Κυκλάδες: Ηράκλεια, Σχοινούσα, Κουφονήσια, Κέρος, Αντικεριά και θαλάσσια ζώνη</w:t>
            </w:r>
          </w:p>
        </w:tc>
        <w:tc>
          <w:tcPr>
            <w:tcW w:w="614" w:type="pct"/>
            <w:tcBorders>
              <w:top w:val="single" w:color="auto" w:sz="4" w:space="0"/>
              <w:left w:val="single" w:color="auto" w:sz="4" w:space="0"/>
              <w:bottom w:val="single" w:color="auto" w:sz="4" w:space="0"/>
              <w:right w:val="single" w:color="auto" w:sz="4" w:space="0"/>
            </w:tcBorders>
            <w:vAlign w:val="center"/>
          </w:tcPr>
          <w:p w14:paraId="541039F2">
            <w:pPr>
              <w:overflowPunct w:val="0"/>
              <w:autoSpaceDE w:val="0"/>
              <w:autoSpaceDN w:val="0"/>
              <w:adjustRightInd w:val="0"/>
              <w:spacing w:before="60" w:after="60" w:line="259" w:lineRule="auto"/>
              <w:jc w:val="center"/>
              <w:textAlignment w:val="baseline"/>
              <w:rPr>
                <w:rFonts w:eastAsia="Times New Roman" w:cs="Arial"/>
                <w:color w:val="000000"/>
                <w:sz w:val="20"/>
                <w:szCs w:val="20"/>
              </w:rPr>
            </w:pPr>
            <w:r>
              <w:rPr>
                <w:rFonts w:eastAsia="Times New Roman" w:cs="Arial"/>
                <w:color w:val="000000"/>
                <w:sz w:val="20"/>
                <w:szCs w:val="20"/>
              </w:rPr>
              <w:t>ΕΖΔ</w:t>
            </w:r>
          </w:p>
        </w:tc>
      </w:tr>
      <w:tr w14:paraId="4A271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039" w:type="pct"/>
            <w:tcBorders>
              <w:top w:val="single" w:color="auto" w:sz="4" w:space="0"/>
              <w:left w:val="single" w:color="auto" w:sz="4" w:space="0"/>
              <w:bottom w:val="single" w:color="auto" w:sz="4" w:space="0"/>
              <w:right w:val="single" w:color="auto" w:sz="4" w:space="0"/>
            </w:tcBorders>
            <w:vAlign w:val="center"/>
          </w:tcPr>
          <w:p w14:paraId="4746919D">
            <w:pPr>
              <w:overflowPunct w:val="0"/>
              <w:autoSpaceDE w:val="0"/>
              <w:autoSpaceDN w:val="0"/>
              <w:adjustRightInd w:val="0"/>
              <w:spacing w:before="60" w:after="60" w:line="259" w:lineRule="auto"/>
              <w:jc w:val="center"/>
              <w:textAlignment w:val="baseline"/>
              <w:rPr>
                <w:rFonts w:eastAsia="Times New Roman" w:cs="Arial"/>
                <w:color w:val="000000"/>
                <w:sz w:val="20"/>
                <w:szCs w:val="20"/>
              </w:rPr>
            </w:pPr>
            <w:r>
              <w:rPr>
                <w:rFonts w:eastAsia="Times New Roman" w:cs="Arial"/>
                <w:color w:val="000000"/>
                <w:sz w:val="20"/>
                <w:szCs w:val="20"/>
              </w:rPr>
              <w:t>GR4220020</w:t>
            </w:r>
          </w:p>
        </w:tc>
        <w:tc>
          <w:tcPr>
            <w:tcW w:w="3347" w:type="pct"/>
            <w:tcBorders>
              <w:top w:val="single" w:color="auto" w:sz="4" w:space="0"/>
              <w:left w:val="single" w:color="auto" w:sz="4" w:space="0"/>
              <w:bottom w:val="single" w:color="auto" w:sz="4" w:space="0"/>
              <w:right w:val="single" w:color="auto" w:sz="4" w:space="0"/>
            </w:tcBorders>
            <w:vAlign w:val="center"/>
          </w:tcPr>
          <w:p w14:paraId="794D13B7">
            <w:pPr>
              <w:overflowPunct w:val="0"/>
              <w:autoSpaceDE w:val="0"/>
              <w:autoSpaceDN w:val="0"/>
              <w:adjustRightInd w:val="0"/>
              <w:spacing w:before="60" w:after="60" w:line="259" w:lineRule="auto"/>
              <w:textAlignment w:val="baseline"/>
              <w:rPr>
                <w:rFonts w:eastAsia="Times New Roman" w:cs="Arial"/>
                <w:color w:val="000000"/>
                <w:sz w:val="20"/>
                <w:szCs w:val="20"/>
              </w:rPr>
            </w:pPr>
            <w:r>
              <w:rPr>
                <w:rFonts w:eastAsia="Times New Roman" w:cs="Arial"/>
                <w:color w:val="000000"/>
                <w:sz w:val="20"/>
                <w:szCs w:val="20"/>
              </w:rPr>
              <w:t>Μήλος: Προφήτης Ηλίας</w:t>
            </w:r>
          </w:p>
        </w:tc>
        <w:tc>
          <w:tcPr>
            <w:tcW w:w="614" w:type="pct"/>
            <w:tcBorders>
              <w:top w:val="single" w:color="auto" w:sz="4" w:space="0"/>
              <w:left w:val="single" w:color="auto" w:sz="4" w:space="0"/>
              <w:bottom w:val="single" w:color="auto" w:sz="4" w:space="0"/>
              <w:right w:val="single" w:color="auto" w:sz="4" w:space="0"/>
            </w:tcBorders>
            <w:vAlign w:val="center"/>
          </w:tcPr>
          <w:p w14:paraId="1CFA51F6">
            <w:pPr>
              <w:overflowPunct w:val="0"/>
              <w:autoSpaceDE w:val="0"/>
              <w:autoSpaceDN w:val="0"/>
              <w:adjustRightInd w:val="0"/>
              <w:spacing w:before="60" w:after="60" w:line="259" w:lineRule="auto"/>
              <w:jc w:val="center"/>
              <w:textAlignment w:val="baseline"/>
              <w:rPr>
                <w:rFonts w:eastAsia="Times New Roman" w:cs="Arial"/>
                <w:color w:val="000000"/>
                <w:sz w:val="20"/>
                <w:szCs w:val="20"/>
              </w:rPr>
            </w:pPr>
            <w:r>
              <w:rPr>
                <w:rFonts w:eastAsia="Times New Roman" w:cs="Arial"/>
                <w:color w:val="000000"/>
                <w:sz w:val="20"/>
                <w:szCs w:val="20"/>
              </w:rPr>
              <w:t>ΕΖΔ</w:t>
            </w:r>
          </w:p>
        </w:tc>
      </w:tr>
      <w:tr w14:paraId="5551E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039" w:type="pct"/>
            <w:tcBorders>
              <w:top w:val="single" w:color="auto" w:sz="4" w:space="0"/>
              <w:left w:val="single" w:color="auto" w:sz="4" w:space="0"/>
              <w:bottom w:val="single" w:color="auto" w:sz="4" w:space="0"/>
              <w:right w:val="single" w:color="auto" w:sz="4" w:space="0"/>
            </w:tcBorders>
            <w:vAlign w:val="center"/>
          </w:tcPr>
          <w:p w14:paraId="5865F0CA">
            <w:pPr>
              <w:overflowPunct w:val="0"/>
              <w:autoSpaceDE w:val="0"/>
              <w:autoSpaceDN w:val="0"/>
              <w:adjustRightInd w:val="0"/>
              <w:spacing w:before="60" w:after="60" w:line="259" w:lineRule="auto"/>
              <w:jc w:val="center"/>
              <w:textAlignment w:val="baseline"/>
              <w:rPr>
                <w:rFonts w:eastAsia="Times New Roman" w:cs="Arial"/>
                <w:color w:val="000000"/>
                <w:sz w:val="20"/>
                <w:szCs w:val="20"/>
              </w:rPr>
            </w:pPr>
            <w:r>
              <w:rPr>
                <w:rFonts w:eastAsia="Times New Roman" w:cs="Arial"/>
                <w:color w:val="000000"/>
                <w:sz w:val="20"/>
                <w:szCs w:val="20"/>
              </w:rPr>
              <w:t>GR4220021</w:t>
            </w:r>
          </w:p>
        </w:tc>
        <w:tc>
          <w:tcPr>
            <w:tcW w:w="3347" w:type="pct"/>
            <w:tcBorders>
              <w:top w:val="single" w:color="auto" w:sz="4" w:space="0"/>
              <w:left w:val="single" w:color="auto" w:sz="4" w:space="0"/>
              <w:bottom w:val="single" w:color="auto" w:sz="4" w:space="0"/>
              <w:right w:val="single" w:color="auto" w:sz="4" w:space="0"/>
            </w:tcBorders>
            <w:vAlign w:val="center"/>
          </w:tcPr>
          <w:p w14:paraId="59D3615A">
            <w:pPr>
              <w:overflowPunct w:val="0"/>
              <w:autoSpaceDE w:val="0"/>
              <w:autoSpaceDN w:val="0"/>
              <w:adjustRightInd w:val="0"/>
              <w:spacing w:before="60" w:after="60" w:line="259" w:lineRule="auto"/>
              <w:textAlignment w:val="baseline"/>
              <w:rPr>
                <w:rFonts w:eastAsia="Times New Roman" w:cs="Arial"/>
                <w:color w:val="000000"/>
                <w:sz w:val="20"/>
                <w:szCs w:val="20"/>
                <w:lang w:val="el-GR"/>
              </w:rPr>
            </w:pPr>
            <w:r>
              <w:rPr>
                <w:rFonts w:eastAsia="Times New Roman" w:cs="Arial"/>
                <w:color w:val="000000"/>
                <w:sz w:val="20"/>
                <w:szCs w:val="20"/>
                <w:lang w:val="el-GR"/>
              </w:rPr>
              <w:t>Μικρές Κυκλάδες, βορειοανατολική Αμοργός, ανατολικές ακτές Δονούσας και γύρω θαλάσσια περιοχή</w:t>
            </w:r>
          </w:p>
        </w:tc>
        <w:tc>
          <w:tcPr>
            <w:tcW w:w="614" w:type="pct"/>
            <w:tcBorders>
              <w:top w:val="single" w:color="auto" w:sz="4" w:space="0"/>
              <w:left w:val="single" w:color="auto" w:sz="4" w:space="0"/>
              <w:bottom w:val="single" w:color="auto" w:sz="4" w:space="0"/>
              <w:right w:val="single" w:color="auto" w:sz="4" w:space="0"/>
            </w:tcBorders>
            <w:vAlign w:val="center"/>
          </w:tcPr>
          <w:p w14:paraId="1D4AB016">
            <w:pPr>
              <w:overflowPunct w:val="0"/>
              <w:autoSpaceDE w:val="0"/>
              <w:autoSpaceDN w:val="0"/>
              <w:adjustRightInd w:val="0"/>
              <w:spacing w:before="60" w:after="60" w:line="259" w:lineRule="auto"/>
              <w:jc w:val="center"/>
              <w:textAlignment w:val="baseline"/>
              <w:rPr>
                <w:rFonts w:eastAsia="Times New Roman" w:cs="Arial"/>
                <w:color w:val="000000"/>
                <w:sz w:val="20"/>
                <w:szCs w:val="20"/>
              </w:rPr>
            </w:pPr>
            <w:r>
              <w:rPr>
                <w:rFonts w:eastAsia="Times New Roman" w:cs="Arial"/>
                <w:color w:val="000000"/>
                <w:sz w:val="20"/>
                <w:szCs w:val="20"/>
              </w:rPr>
              <w:t>ΖΕΠ</w:t>
            </w:r>
          </w:p>
        </w:tc>
      </w:tr>
      <w:tr w14:paraId="100EB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039" w:type="pct"/>
            <w:tcBorders>
              <w:top w:val="single" w:color="auto" w:sz="4" w:space="0"/>
              <w:left w:val="single" w:color="auto" w:sz="4" w:space="0"/>
              <w:bottom w:val="single" w:color="auto" w:sz="4" w:space="0"/>
              <w:right w:val="single" w:color="auto" w:sz="4" w:space="0"/>
            </w:tcBorders>
            <w:vAlign w:val="center"/>
          </w:tcPr>
          <w:p w14:paraId="435120C8">
            <w:pPr>
              <w:overflowPunct w:val="0"/>
              <w:autoSpaceDE w:val="0"/>
              <w:autoSpaceDN w:val="0"/>
              <w:adjustRightInd w:val="0"/>
              <w:spacing w:before="60" w:after="60" w:line="259" w:lineRule="auto"/>
              <w:jc w:val="center"/>
              <w:textAlignment w:val="baseline"/>
              <w:rPr>
                <w:rFonts w:eastAsia="Times New Roman" w:cs="Arial"/>
                <w:color w:val="000000"/>
                <w:sz w:val="20"/>
                <w:szCs w:val="20"/>
              </w:rPr>
            </w:pPr>
            <w:r>
              <w:rPr>
                <w:rFonts w:eastAsia="Times New Roman" w:cs="Arial"/>
                <w:color w:val="000000"/>
                <w:sz w:val="20"/>
                <w:szCs w:val="20"/>
              </w:rPr>
              <w:t>GR4220022</w:t>
            </w:r>
          </w:p>
        </w:tc>
        <w:tc>
          <w:tcPr>
            <w:tcW w:w="3347" w:type="pct"/>
            <w:tcBorders>
              <w:top w:val="single" w:color="auto" w:sz="4" w:space="0"/>
              <w:left w:val="single" w:color="auto" w:sz="4" w:space="0"/>
              <w:bottom w:val="single" w:color="auto" w:sz="4" w:space="0"/>
              <w:right w:val="single" w:color="auto" w:sz="4" w:space="0"/>
            </w:tcBorders>
            <w:vAlign w:val="center"/>
          </w:tcPr>
          <w:p w14:paraId="1A638288">
            <w:pPr>
              <w:overflowPunct w:val="0"/>
              <w:autoSpaceDE w:val="0"/>
              <w:autoSpaceDN w:val="0"/>
              <w:adjustRightInd w:val="0"/>
              <w:spacing w:before="60" w:after="60" w:line="259" w:lineRule="auto"/>
              <w:textAlignment w:val="baseline"/>
              <w:rPr>
                <w:rFonts w:eastAsia="Times New Roman" w:cs="Arial"/>
                <w:color w:val="000000"/>
                <w:sz w:val="20"/>
                <w:szCs w:val="20"/>
              </w:rPr>
            </w:pPr>
            <w:r>
              <w:rPr>
                <w:rFonts w:eastAsia="Times New Roman" w:cs="Arial"/>
                <w:color w:val="000000"/>
                <w:sz w:val="20"/>
                <w:szCs w:val="20"/>
              </w:rPr>
              <w:t>Χριστιάνα</w:t>
            </w:r>
          </w:p>
        </w:tc>
        <w:tc>
          <w:tcPr>
            <w:tcW w:w="614" w:type="pct"/>
            <w:tcBorders>
              <w:top w:val="single" w:color="auto" w:sz="4" w:space="0"/>
              <w:left w:val="single" w:color="auto" w:sz="4" w:space="0"/>
              <w:bottom w:val="single" w:color="auto" w:sz="4" w:space="0"/>
              <w:right w:val="single" w:color="auto" w:sz="4" w:space="0"/>
            </w:tcBorders>
            <w:vAlign w:val="center"/>
          </w:tcPr>
          <w:p w14:paraId="76936821">
            <w:pPr>
              <w:overflowPunct w:val="0"/>
              <w:autoSpaceDE w:val="0"/>
              <w:autoSpaceDN w:val="0"/>
              <w:adjustRightInd w:val="0"/>
              <w:spacing w:before="60" w:after="60" w:line="259" w:lineRule="auto"/>
              <w:jc w:val="center"/>
              <w:textAlignment w:val="baseline"/>
              <w:rPr>
                <w:rFonts w:eastAsia="Times New Roman" w:cs="Arial"/>
                <w:color w:val="000000"/>
                <w:sz w:val="20"/>
                <w:szCs w:val="20"/>
              </w:rPr>
            </w:pPr>
            <w:r>
              <w:rPr>
                <w:rFonts w:eastAsia="Times New Roman" w:cs="Arial"/>
                <w:color w:val="000000"/>
                <w:sz w:val="20"/>
                <w:szCs w:val="20"/>
              </w:rPr>
              <w:t>ΖΕΠ</w:t>
            </w:r>
          </w:p>
        </w:tc>
      </w:tr>
      <w:tr w14:paraId="23305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039" w:type="pct"/>
            <w:tcBorders>
              <w:top w:val="single" w:color="auto" w:sz="4" w:space="0"/>
              <w:left w:val="single" w:color="auto" w:sz="4" w:space="0"/>
              <w:bottom w:val="single" w:color="auto" w:sz="4" w:space="0"/>
              <w:right w:val="single" w:color="auto" w:sz="4" w:space="0"/>
            </w:tcBorders>
            <w:vAlign w:val="center"/>
          </w:tcPr>
          <w:p w14:paraId="2009BB8D">
            <w:pPr>
              <w:overflowPunct w:val="0"/>
              <w:autoSpaceDE w:val="0"/>
              <w:autoSpaceDN w:val="0"/>
              <w:adjustRightInd w:val="0"/>
              <w:spacing w:before="60" w:after="60" w:line="259" w:lineRule="auto"/>
              <w:jc w:val="center"/>
              <w:textAlignment w:val="baseline"/>
              <w:rPr>
                <w:rFonts w:eastAsia="Times New Roman" w:cs="Arial"/>
                <w:color w:val="000000"/>
                <w:sz w:val="20"/>
                <w:szCs w:val="20"/>
              </w:rPr>
            </w:pPr>
            <w:r>
              <w:rPr>
                <w:rFonts w:eastAsia="Times New Roman" w:cs="Arial"/>
                <w:color w:val="000000"/>
                <w:sz w:val="20"/>
                <w:szCs w:val="20"/>
              </w:rPr>
              <w:t>GR4220023</w:t>
            </w:r>
          </w:p>
        </w:tc>
        <w:tc>
          <w:tcPr>
            <w:tcW w:w="3347" w:type="pct"/>
            <w:tcBorders>
              <w:top w:val="single" w:color="auto" w:sz="4" w:space="0"/>
              <w:left w:val="single" w:color="auto" w:sz="4" w:space="0"/>
              <w:bottom w:val="single" w:color="auto" w:sz="4" w:space="0"/>
              <w:right w:val="single" w:color="auto" w:sz="4" w:space="0"/>
            </w:tcBorders>
            <w:vAlign w:val="center"/>
          </w:tcPr>
          <w:p w14:paraId="306CCA38">
            <w:pPr>
              <w:overflowPunct w:val="0"/>
              <w:autoSpaceDE w:val="0"/>
              <w:autoSpaceDN w:val="0"/>
              <w:adjustRightInd w:val="0"/>
              <w:spacing w:before="60" w:after="60" w:line="259" w:lineRule="auto"/>
              <w:textAlignment w:val="baseline"/>
              <w:rPr>
                <w:rFonts w:eastAsia="Times New Roman" w:cs="Arial"/>
                <w:color w:val="000000"/>
                <w:sz w:val="20"/>
                <w:szCs w:val="20"/>
                <w:lang w:val="el-GR"/>
              </w:rPr>
            </w:pPr>
            <w:r>
              <w:rPr>
                <w:rFonts w:eastAsia="Times New Roman" w:cs="Arial"/>
                <w:color w:val="000000"/>
                <w:sz w:val="20"/>
                <w:szCs w:val="20"/>
                <w:lang w:val="el-GR"/>
              </w:rPr>
              <w:t>Ανάφη, ανατολικό και βόρειο τμήμα και γύρω θαλάσσια περιοχή</w:t>
            </w:r>
          </w:p>
        </w:tc>
        <w:tc>
          <w:tcPr>
            <w:tcW w:w="614" w:type="pct"/>
            <w:tcBorders>
              <w:top w:val="single" w:color="auto" w:sz="4" w:space="0"/>
              <w:left w:val="single" w:color="auto" w:sz="4" w:space="0"/>
              <w:bottom w:val="single" w:color="auto" w:sz="4" w:space="0"/>
              <w:right w:val="single" w:color="auto" w:sz="4" w:space="0"/>
            </w:tcBorders>
            <w:vAlign w:val="center"/>
          </w:tcPr>
          <w:p w14:paraId="58969072">
            <w:pPr>
              <w:overflowPunct w:val="0"/>
              <w:autoSpaceDE w:val="0"/>
              <w:autoSpaceDN w:val="0"/>
              <w:adjustRightInd w:val="0"/>
              <w:spacing w:before="60" w:after="60" w:line="259" w:lineRule="auto"/>
              <w:jc w:val="center"/>
              <w:textAlignment w:val="baseline"/>
              <w:rPr>
                <w:rFonts w:eastAsia="Times New Roman" w:cs="Arial"/>
                <w:color w:val="000000"/>
                <w:sz w:val="20"/>
                <w:szCs w:val="20"/>
              </w:rPr>
            </w:pPr>
            <w:r>
              <w:rPr>
                <w:rFonts w:eastAsia="Times New Roman" w:cs="Arial"/>
                <w:color w:val="000000"/>
                <w:sz w:val="20"/>
                <w:szCs w:val="20"/>
              </w:rPr>
              <w:t>ΖΕΠ</w:t>
            </w:r>
          </w:p>
        </w:tc>
      </w:tr>
      <w:tr w14:paraId="697FE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039" w:type="pct"/>
            <w:tcBorders>
              <w:top w:val="single" w:color="auto" w:sz="4" w:space="0"/>
              <w:left w:val="single" w:color="auto" w:sz="4" w:space="0"/>
              <w:bottom w:val="single" w:color="auto" w:sz="4" w:space="0"/>
              <w:right w:val="single" w:color="auto" w:sz="4" w:space="0"/>
            </w:tcBorders>
            <w:vAlign w:val="center"/>
          </w:tcPr>
          <w:p w14:paraId="10A927BD">
            <w:pPr>
              <w:overflowPunct w:val="0"/>
              <w:autoSpaceDE w:val="0"/>
              <w:autoSpaceDN w:val="0"/>
              <w:adjustRightInd w:val="0"/>
              <w:spacing w:before="60" w:after="60" w:line="259" w:lineRule="auto"/>
              <w:jc w:val="center"/>
              <w:textAlignment w:val="baseline"/>
              <w:rPr>
                <w:rFonts w:eastAsia="Times New Roman" w:cs="Arial"/>
                <w:color w:val="000000"/>
                <w:sz w:val="20"/>
                <w:szCs w:val="20"/>
              </w:rPr>
            </w:pPr>
            <w:r>
              <w:rPr>
                <w:rFonts w:eastAsia="Times New Roman" w:cs="Arial"/>
                <w:color w:val="000000"/>
                <w:sz w:val="20"/>
                <w:szCs w:val="20"/>
              </w:rPr>
              <w:t>GR4220030</w:t>
            </w:r>
          </w:p>
        </w:tc>
        <w:tc>
          <w:tcPr>
            <w:tcW w:w="3347" w:type="pct"/>
            <w:tcBorders>
              <w:top w:val="single" w:color="auto" w:sz="4" w:space="0"/>
              <w:left w:val="single" w:color="auto" w:sz="4" w:space="0"/>
              <w:bottom w:val="single" w:color="auto" w:sz="4" w:space="0"/>
              <w:right w:val="single" w:color="auto" w:sz="4" w:space="0"/>
            </w:tcBorders>
            <w:vAlign w:val="center"/>
          </w:tcPr>
          <w:p w14:paraId="446649F0">
            <w:pPr>
              <w:overflowPunct w:val="0"/>
              <w:autoSpaceDE w:val="0"/>
              <w:autoSpaceDN w:val="0"/>
              <w:adjustRightInd w:val="0"/>
              <w:spacing w:before="60" w:after="60" w:line="259" w:lineRule="auto"/>
              <w:textAlignment w:val="baseline"/>
              <w:rPr>
                <w:rFonts w:eastAsia="Times New Roman" w:cs="Arial"/>
                <w:color w:val="000000"/>
                <w:sz w:val="20"/>
                <w:szCs w:val="20"/>
                <w:lang w:val="el-GR"/>
              </w:rPr>
            </w:pPr>
            <w:r>
              <w:rPr>
                <w:rFonts w:eastAsia="Times New Roman" w:cs="Arial"/>
                <w:color w:val="000000"/>
                <w:sz w:val="20"/>
                <w:szCs w:val="20"/>
                <w:lang w:val="el-GR"/>
              </w:rPr>
              <w:t xml:space="preserve">Δυτική Μήλος, Αντιμήλος, Πολυαίγος </w:t>
            </w:r>
          </w:p>
        </w:tc>
        <w:tc>
          <w:tcPr>
            <w:tcW w:w="614" w:type="pct"/>
            <w:tcBorders>
              <w:top w:val="single" w:color="auto" w:sz="4" w:space="0"/>
              <w:left w:val="single" w:color="auto" w:sz="4" w:space="0"/>
              <w:bottom w:val="single" w:color="auto" w:sz="4" w:space="0"/>
              <w:right w:val="single" w:color="auto" w:sz="4" w:space="0"/>
            </w:tcBorders>
            <w:vAlign w:val="center"/>
          </w:tcPr>
          <w:p w14:paraId="232F5295">
            <w:pPr>
              <w:overflowPunct w:val="0"/>
              <w:autoSpaceDE w:val="0"/>
              <w:autoSpaceDN w:val="0"/>
              <w:adjustRightInd w:val="0"/>
              <w:spacing w:before="60" w:after="60" w:line="259" w:lineRule="auto"/>
              <w:jc w:val="center"/>
              <w:textAlignment w:val="baseline"/>
              <w:rPr>
                <w:rFonts w:eastAsia="Times New Roman" w:cs="Arial"/>
                <w:color w:val="000000"/>
                <w:sz w:val="20"/>
                <w:szCs w:val="20"/>
              </w:rPr>
            </w:pPr>
            <w:r>
              <w:rPr>
                <w:rFonts w:eastAsia="Times New Roman" w:cs="Arial"/>
                <w:color w:val="000000"/>
                <w:sz w:val="20"/>
                <w:szCs w:val="20"/>
              </w:rPr>
              <w:t>ΖΕΠ</w:t>
            </w:r>
          </w:p>
        </w:tc>
      </w:tr>
      <w:tr w14:paraId="70BDB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039" w:type="pct"/>
            <w:tcBorders>
              <w:top w:val="single" w:color="auto" w:sz="4" w:space="0"/>
              <w:left w:val="single" w:color="auto" w:sz="4" w:space="0"/>
              <w:bottom w:val="single" w:color="auto" w:sz="4" w:space="0"/>
              <w:right w:val="single" w:color="auto" w:sz="4" w:space="0"/>
            </w:tcBorders>
            <w:vAlign w:val="center"/>
          </w:tcPr>
          <w:p w14:paraId="6A143C66">
            <w:pPr>
              <w:overflowPunct w:val="0"/>
              <w:autoSpaceDE w:val="0"/>
              <w:autoSpaceDN w:val="0"/>
              <w:adjustRightInd w:val="0"/>
              <w:spacing w:before="60" w:after="60" w:line="259" w:lineRule="auto"/>
              <w:jc w:val="center"/>
              <w:textAlignment w:val="baseline"/>
              <w:rPr>
                <w:rFonts w:eastAsia="Times New Roman" w:cs="Arial"/>
                <w:color w:val="000000"/>
                <w:sz w:val="20"/>
                <w:szCs w:val="20"/>
              </w:rPr>
            </w:pPr>
            <w:r>
              <w:rPr>
                <w:rFonts w:eastAsia="Times New Roman" w:cs="Arial"/>
                <w:color w:val="000000"/>
                <w:sz w:val="20"/>
                <w:szCs w:val="20"/>
              </w:rPr>
              <w:t>GR4220034</w:t>
            </w:r>
          </w:p>
        </w:tc>
        <w:tc>
          <w:tcPr>
            <w:tcW w:w="3347" w:type="pct"/>
            <w:tcBorders>
              <w:top w:val="single" w:color="auto" w:sz="4" w:space="0"/>
              <w:left w:val="single" w:color="auto" w:sz="4" w:space="0"/>
              <w:bottom w:val="single" w:color="auto" w:sz="4" w:space="0"/>
              <w:right w:val="single" w:color="auto" w:sz="4" w:space="0"/>
            </w:tcBorders>
            <w:vAlign w:val="center"/>
          </w:tcPr>
          <w:p w14:paraId="255DF869">
            <w:pPr>
              <w:overflowPunct w:val="0"/>
              <w:autoSpaceDE w:val="0"/>
              <w:autoSpaceDN w:val="0"/>
              <w:adjustRightInd w:val="0"/>
              <w:spacing w:before="60" w:after="60" w:line="259" w:lineRule="auto"/>
              <w:textAlignment w:val="baseline"/>
              <w:rPr>
                <w:rFonts w:eastAsia="Times New Roman" w:cs="Arial"/>
                <w:color w:val="000000"/>
                <w:sz w:val="20"/>
                <w:szCs w:val="20"/>
                <w:lang w:val="el-GR"/>
              </w:rPr>
            </w:pPr>
            <w:r>
              <w:rPr>
                <w:rFonts w:eastAsia="Times New Roman" w:cs="Arial"/>
                <w:color w:val="000000"/>
                <w:sz w:val="20"/>
                <w:szCs w:val="20"/>
                <w:lang w:val="el-GR"/>
              </w:rPr>
              <w:t>Παράκτια και θαλάσσια ζώνη Ανάφης</w:t>
            </w:r>
          </w:p>
        </w:tc>
        <w:tc>
          <w:tcPr>
            <w:tcW w:w="614" w:type="pct"/>
            <w:tcBorders>
              <w:top w:val="single" w:color="auto" w:sz="4" w:space="0"/>
              <w:left w:val="single" w:color="auto" w:sz="4" w:space="0"/>
              <w:bottom w:val="single" w:color="auto" w:sz="4" w:space="0"/>
              <w:right w:val="single" w:color="auto" w:sz="4" w:space="0"/>
            </w:tcBorders>
            <w:vAlign w:val="center"/>
          </w:tcPr>
          <w:p w14:paraId="210FA871">
            <w:pPr>
              <w:overflowPunct w:val="0"/>
              <w:autoSpaceDE w:val="0"/>
              <w:autoSpaceDN w:val="0"/>
              <w:adjustRightInd w:val="0"/>
              <w:spacing w:before="60" w:after="60" w:line="259" w:lineRule="auto"/>
              <w:jc w:val="center"/>
              <w:textAlignment w:val="baseline"/>
              <w:rPr>
                <w:rFonts w:eastAsia="Times New Roman" w:cs="Arial"/>
                <w:color w:val="000000"/>
                <w:sz w:val="20"/>
                <w:szCs w:val="20"/>
              </w:rPr>
            </w:pPr>
            <w:r>
              <w:rPr>
                <w:rFonts w:eastAsia="Times New Roman" w:cs="Arial"/>
                <w:color w:val="000000"/>
                <w:sz w:val="20"/>
                <w:szCs w:val="20"/>
              </w:rPr>
              <w:t>ΕΖΔ</w:t>
            </w:r>
          </w:p>
        </w:tc>
      </w:tr>
      <w:tr w14:paraId="3AA42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39" w:type="pct"/>
            <w:tcBorders>
              <w:top w:val="single" w:color="auto" w:sz="4" w:space="0"/>
              <w:left w:val="single" w:color="auto" w:sz="4" w:space="0"/>
              <w:bottom w:val="single" w:color="auto" w:sz="4" w:space="0"/>
              <w:right w:val="single" w:color="auto" w:sz="4" w:space="0"/>
            </w:tcBorders>
            <w:vAlign w:val="center"/>
          </w:tcPr>
          <w:p w14:paraId="394097D3">
            <w:pPr>
              <w:overflowPunct w:val="0"/>
              <w:autoSpaceDE w:val="0"/>
              <w:autoSpaceDN w:val="0"/>
              <w:adjustRightInd w:val="0"/>
              <w:spacing w:before="60" w:after="60" w:line="259" w:lineRule="auto"/>
              <w:jc w:val="center"/>
              <w:textAlignment w:val="baseline"/>
              <w:rPr>
                <w:rFonts w:eastAsia="Times New Roman" w:cs="Arial"/>
                <w:color w:val="000000"/>
                <w:sz w:val="20"/>
                <w:szCs w:val="20"/>
              </w:rPr>
            </w:pPr>
            <w:r>
              <w:rPr>
                <w:rFonts w:eastAsia="Times New Roman" w:cs="Arial"/>
                <w:color w:val="000000"/>
                <w:sz w:val="20"/>
                <w:szCs w:val="20"/>
              </w:rPr>
              <w:t>GR4220036</w:t>
            </w:r>
          </w:p>
        </w:tc>
        <w:tc>
          <w:tcPr>
            <w:tcW w:w="3347" w:type="pct"/>
            <w:tcBorders>
              <w:top w:val="single" w:color="auto" w:sz="4" w:space="0"/>
              <w:left w:val="single" w:color="auto" w:sz="4" w:space="0"/>
              <w:bottom w:val="single" w:color="auto" w:sz="4" w:space="0"/>
              <w:right w:val="single" w:color="auto" w:sz="4" w:space="0"/>
            </w:tcBorders>
            <w:vAlign w:val="center"/>
          </w:tcPr>
          <w:p w14:paraId="7E0D5297">
            <w:pPr>
              <w:overflowPunct w:val="0"/>
              <w:autoSpaceDE w:val="0"/>
              <w:autoSpaceDN w:val="0"/>
              <w:adjustRightInd w:val="0"/>
              <w:spacing w:before="60" w:after="60" w:line="259" w:lineRule="auto"/>
              <w:textAlignment w:val="baseline"/>
              <w:rPr>
                <w:rFonts w:eastAsia="Times New Roman" w:cs="Arial"/>
                <w:color w:val="000000"/>
                <w:sz w:val="20"/>
                <w:szCs w:val="20"/>
              </w:rPr>
            </w:pPr>
            <w:r>
              <w:rPr>
                <w:rFonts w:eastAsia="Times New Roman" w:cs="Arial"/>
                <w:color w:val="000000"/>
                <w:sz w:val="20"/>
                <w:szCs w:val="20"/>
              </w:rPr>
              <w:t>Θαλάσσια περιοχή Κολούμβο</w:t>
            </w:r>
          </w:p>
        </w:tc>
        <w:tc>
          <w:tcPr>
            <w:tcW w:w="614" w:type="pct"/>
            <w:tcBorders>
              <w:top w:val="single" w:color="auto" w:sz="4" w:space="0"/>
              <w:left w:val="single" w:color="auto" w:sz="4" w:space="0"/>
              <w:bottom w:val="single" w:color="auto" w:sz="4" w:space="0"/>
              <w:right w:val="single" w:color="auto" w:sz="4" w:space="0"/>
            </w:tcBorders>
            <w:vAlign w:val="center"/>
          </w:tcPr>
          <w:p w14:paraId="60265BFF">
            <w:pPr>
              <w:overflowPunct w:val="0"/>
              <w:autoSpaceDE w:val="0"/>
              <w:autoSpaceDN w:val="0"/>
              <w:adjustRightInd w:val="0"/>
              <w:spacing w:before="60" w:after="60" w:line="259" w:lineRule="auto"/>
              <w:jc w:val="center"/>
              <w:textAlignment w:val="baseline"/>
              <w:rPr>
                <w:rFonts w:eastAsia="Times New Roman" w:cs="Arial"/>
                <w:color w:val="000000"/>
                <w:sz w:val="20"/>
                <w:szCs w:val="20"/>
              </w:rPr>
            </w:pPr>
            <w:r>
              <w:rPr>
                <w:rFonts w:eastAsia="Times New Roman" w:cs="Arial"/>
                <w:color w:val="000000"/>
                <w:sz w:val="20"/>
                <w:szCs w:val="20"/>
              </w:rPr>
              <w:t>ΕΖΔ</w:t>
            </w:r>
          </w:p>
        </w:tc>
      </w:tr>
    </w:tbl>
    <w:p w14:paraId="46F64A5E">
      <w:pPr>
        <w:spacing w:line="259" w:lineRule="auto"/>
        <w:jc w:val="center"/>
        <w:rPr>
          <w:rFonts w:eastAsia="Times New Roman" w:cs="Arial"/>
          <w:b/>
          <w:bCs/>
          <w:color w:val="FFFFFF"/>
          <w:sz w:val="22"/>
          <w:szCs w:val="22"/>
          <w:lang w:val="el-GR"/>
        </w:rPr>
      </w:pPr>
    </w:p>
    <w:p w14:paraId="718FE5EA">
      <w:pPr>
        <w:spacing w:after="0" w:line="259" w:lineRule="auto"/>
        <w:rPr>
          <w:rFonts w:cs="Arial"/>
          <w:sz w:val="20"/>
          <w:szCs w:val="20"/>
          <w:lang w:val="el-GR"/>
        </w:rPr>
      </w:pPr>
      <w:r>
        <w:rPr>
          <w:rFonts w:cs="Arial"/>
          <w:sz w:val="20"/>
          <w:szCs w:val="20"/>
          <w:lang w:val="el-GR"/>
        </w:rPr>
        <w:t>ΕΖΔ: Ειδική Ζώνη Διατήρησης (οικότοποι και είδη πλην ορνιθοπανίδας)</w:t>
      </w:r>
    </w:p>
    <w:p w14:paraId="3874462F">
      <w:pPr>
        <w:spacing w:after="0" w:line="259" w:lineRule="auto"/>
        <w:rPr>
          <w:rFonts w:cs="Arial"/>
          <w:sz w:val="20"/>
          <w:szCs w:val="20"/>
          <w:lang w:val="el-GR"/>
        </w:rPr>
      </w:pPr>
      <w:r>
        <w:rPr>
          <w:rFonts w:cs="Arial"/>
          <w:sz w:val="20"/>
          <w:szCs w:val="20"/>
          <w:lang w:val="el-GR"/>
        </w:rPr>
        <w:t>ΖΕΠ: Ζώνη Ειδικής Προστασίας της ορνιθοπανίδας</w:t>
      </w:r>
    </w:p>
    <w:p w14:paraId="5FB53C6F">
      <w:pPr>
        <w:pStyle w:val="14"/>
        <w:tabs>
          <w:tab w:val="left" w:pos="0"/>
        </w:tabs>
        <w:spacing w:after="120" w:line="259" w:lineRule="auto"/>
        <w:ind w:left="0"/>
        <w:contextualSpacing w:val="0"/>
        <w:jc w:val="both"/>
        <w:rPr>
          <w:rFonts w:cs="Arial"/>
          <w:b/>
          <w:sz w:val="20"/>
          <w:szCs w:val="20"/>
          <w:lang w:val="el-GR"/>
        </w:rPr>
      </w:pPr>
      <w:r>
        <w:rPr>
          <w:rFonts w:cs="Arial"/>
          <w:sz w:val="20"/>
          <w:szCs w:val="20"/>
          <w:lang w:val="el-GR"/>
        </w:rPr>
        <w:t>ΤΚΣ: Τόποι Κοινοτικής Σημασίας</w:t>
      </w:r>
    </w:p>
    <w:p w14:paraId="46DC537A">
      <w:pPr>
        <w:spacing w:after="60" w:line="259" w:lineRule="auto"/>
        <w:jc w:val="center"/>
        <w:rPr>
          <w:rFonts w:cs="Arial"/>
          <w:b/>
          <w:sz w:val="22"/>
          <w:szCs w:val="22"/>
          <w:lang w:val="el-GR"/>
        </w:rPr>
      </w:pPr>
      <w:r>
        <w:rPr>
          <w:rFonts w:cs="Arial"/>
          <w:b/>
          <w:sz w:val="22"/>
          <w:szCs w:val="22"/>
          <w:lang w:val="el-GR"/>
        </w:rPr>
        <w:br w:type="page"/>
      </w:r>
    </w:p>
    <w:p w14:paraId="0D7B5168">
      <w:pPr>
        <w:spacing w:after="60" w:line="259" w:lineRule="auto"/>
        <w:jc w:val="center"/>
        <w:rPr>
          <w:rFonts w:cs="Arial"/>
          <w:b/>
          <w:bCs/>
          <w:sz w:val="22"/>
          <w:szCs w:val="22"/>
          <w:lang w:val="el-GR"/>
        </w:rPr>
      </w:pPr>
      <w:r>
        <w:rPr>
          <w:rFonts w:cs="Arial"/>
          <w:b/>
          <w:bCs/>
          <w:sz w:val="22"/>
          <w:szCs w:val="22"/>
          <w:lang w:val="el-GR"/>
        </w:rPr>
        <w:t>ΠΑΡΑΡΤΗΜΑ 2</w:t>
      </w:r>
    </w:p>
    <w:p w14:paraId="4EEEAD57">
      <w:pPr>
        <w:spacing w:after="60" w:line="259" w:lineRule="auto"/>
        <w:jc w:val="center"/>
        <w:rPr>
          <w:rFonts w:cs="Arial"/>
          <w:b/>
          <w:bCs/>
          <w:sz w:val="22"/>
          <w:szCs w:val="22"/>
          <w:lang w:val="el-GR"/>
        </w:rPr>
      </w:pPr>
      <w:r>
        <w:rPr>
          <w:rFonts w:cs="Arial"/>
          <w:b/>
          <w:bCs/>
          <w:sz w:val="22"/>
          <w:szCs w:val="22"/>
          <w:lang w:val="el-GR"/>
        </w:rPr>
        <w:t xml:space="preserve">Περιοχές του Δικτύου </w:t>
      </w:r>
      <w:r>
        <w:rPr>
          <w:rFonts w:cs="Arial"/>
          <w:b/>
          <w:bCs/>
          <w:sz w:val="22"/>
          <w:szCs w:val="22"/>
        </w:rPr>
        <w:t>Natura</w:t>
      </w:r>
      <w:r>
        <w:rPr>
          <w:rFonts w:cs="Arial"/>
          <w:b/>
          <w:bCs/>
          <w:sz w:val="22"/>
          <w:szCs w:val="22"/>
          <w:lang w:val="el-GR"/>
        </w:rPr>
        <w:t xml:space="preserve"> 2000 (ή τμήματά τους) που περιλαμβάνονται στο Εθνικό Θαλάσσιο Πάρκο Ιονίου</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3"/>
        <w:gridCol w:w="6581"/>
        <w:gridCol w:w="1207"/>
      </w:tblGrid>
      <w:tr w14:paraId="21078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039" w:type="pct"/>
            <w:shd w:val="clear" w:color="auto" w:fill="76923C"/>
          </w:tcPr>
          <w:p w14:paraId="357CC30A">
            <w:pPr>
              <w:overflowPunct w:val="0"/>
              <w:autoSpaceDE w:val="0"/>
              <w:autoSpaceDN w:val="0"/>
              <w:adjustRightInd w:val="0"/>
              <w:spacing w:before="60" w:after="60" w:line="259" w:lineRule="auto"/>
              <w:jc w:val="center"/>
              <w:textAlignment w:val="baseline"/>
              <w:rPr>
                <w:rFonts w:eastAsia="Times New Roman" w:cs="Arial"/>
                <w:b/>
                <w:bCs/>
                <w:color w:val="FFFFFF"/>
                <w:sz w:val="20"/>
                <w:szCs w:val="20"/>
              </w:rPr>
            </w:pPr>
            <w:r>
              <w:rPr>
                <w:rFonts w:eastAsia="Times New Roman" w:cs="Arial"/>
                <w:b/>
                <w:bCs/>
                <w:color w:val="FFFFFF"/>
                <w:sz w:val="20"/>
                <w:szCs w:val="20"/>
              </w:rPr>
              <w:t>Κωδικός N2000</w:t>
            </w:r>
          </w:p>
        </w:tc>
        <w:tc>
          <w:tcPr>
            <w:tcW w:w="3347" w:type="pct"/>
            <w:shd w:val="clear" w:color="auto" w:fill="76923C"/>
          </w:tcPr>
          <w:p w14:paraId="0E5327B5">
            <w:pPr>
              <w:overflowPunct w:val="0"/>
              <w:autoSpaceDE w:val="0"/>
              <w:autoSpaceDN w:val="0"/>
              <w:adjustRightInd w:val="0"/>
              <w:spacing w:before="60" w:after="60" w:line="259" w:lineRule="auto"/>
              <w:textAlignment w:val="baseline"/>
              <w:rPr>
                <w:rFonts w:eastAsia="Times New Roman" w:cs="Arial"/>
                <w:b/>
                <w:bCs/>
                <w:color w:val="FFFFFF"/>
                <w:sz w:val="20"/>
                <w:szCs w:val="20"/>
              </w:rPr>
            </w:pPr>
            <w:r>
              <w:rPr>
                <w:rFonts w:eastAsia="Times New Roman" w:cs="Arial"/>
                <w:b/>
                <w:bCs/>
                <w:color w:val="FFFFFF"/>
                <w:sz w:val="20"/>
                <w:szCs w:val="20"/>
              </w:rPr>
              <w:t>Ονομασία Περιοχής</w:t>
            </w:r>
          </w:p>
        </w:tc>
        <w:tc>
          <w:tcPr>
            <w:tcW w:w="614" w:type="pct"/>
            <w:shd w:val="clear" w:color="auto" w:fill="76923C"/>
          </w:tcPr>
          <w:p w14:paraId="272712C3">
            <w:pPr>
              <w:overflowPunct w:val="0"/>
              <w:autoSpaceDE w:val="0"/>
              <w:autoSpaceDN w:val="0"/>
              <w:adjustRightInd w:val="0"/>
              <w:spacing w:before="60" w:after="60" w:line="259" w:lineRule="auto"/>
              <w:jc w:val="center"/>
              <w:textAlignment w:val="baseline"/>
              <w:rPr>
                <w:rFonts w:eastAsia="Times New Roman" w:cs="Arial"/>
                <w:b/>
                <w:bCs/>
                <w:color w:val="FFFFFF"/>
                <w:sz w:val="20"/>
                <w:szCs w:val="20"/>
              </w:rPr>
            </w:pPr>
            <w:r>
              <w:rPr>
                <w:rFonts w:eastAsia="Times New Roman" w:cs="Arial"/>
                <w:b/>
                <w:bCs/>
                <w:color w:val="FFFFFF"/>
                <w:sz w:val="20"/>
                <w:szCs w:val="20"/>
              </w:rPr>
              <w:t>Είδος</w:t>
            </w:r>
          </w:p>
        </w:tc>
      </w:tr>
      <w:tr w14:paraId="03B64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039" w:type="pct"/>
          </w:tcPr>
          <w:p w14:paraId="39860E3E">
            <w:pPr>
              <w:overflowPunct w:val="0"/>
              <w:autoSpaceDE w:val="0"/>
              <w:autoSpaceDN w:val="0"/>
              <w:adjustRightInd w:val="0"/>
              <w:spacing w:before="60" w:after="60" w:line="259" w:lineRule="auto"/>
              <w:jc w:val="center"/>
              <w:textAlignment w:val="baseline"/>
              <w:rPr>
                <w:rFonts w:eastAsia="Times New Roman" w:cs="Arial"/>
                <w:sz w:val="20"/>
                <w:szCs w:val="20"/>
              </w:rPr>
            </w:pPr>
            <w:r>
              <w:rPr>
                <w:rFonts w:eastAsia="Times New Roman" w:cs="Arial"/>
                <w:sz w:val="20"/>
                <w:szCs w:val="20"/>
              </w:rPr>
              <w:t>GR2210001</w:t>
            </w:r>
          </w:p>
        </w:tc>
        <w:tc>
          <w:tcPr>
            <w:tcW w:w="3347" w:type="pct"/>
          </w:tcPr>
          <w:p w14:paraId="66DD224F">
            <w:pPr>
              <w:overflowPunct w:val="0"/>
              <w:autoSpaceDE w:val="0"/>
              <w:autoSpaceDN w:val="0"/>
              <w:adjustRightInd w:val="0"/>
              <w:spacing w:before="60" w:after="60" w:line="259" w:lineRule="auto"/>
              <w:textAlignment w:val="baseline"/>
              <w:rPr>
                <w:rFonts w:eastAsia="Times New Roman" w:cs="Arial"/>
                <w:sz w:val="20"/>
                <w:szCs w:val="20"/>
                <w:lang w:val="el-GR"/>
              </w:rPr>
            </w:pPr>
            <w:r>
              <w:rPr>
                <w:rFonts w:eastAsia="Times New Roman" w:cs="Arial"/>
                <w:sz w:val="20"/>
                <w:szCs w:val="20"/>
                <w:lang w:val="el-GR"/>
              </w:rPr>
              <w:t>Δυτικές και βορειοδυτικές ακτές Ζακύνθου</w:t>
            </w:r>
          </w:p>
        </w:tc>
        <w:tc>
          <w:tcPr>
            <w:tcW w:w="614" w:type="pct"/>
          </w:tcPr>
          <w:p w14:paraId="4C7A1CF8">
            <w:pPr>
              <w:overflowPunct w:val="0"/>
              <w:autoSpaceDE w:val="0"/>
              <w:autoSpaceDN w:val="0"/>
              <w:adjustRightInd w:val="0"/>
              <w:spacing w:before="60" w:after="60" w:line="259" w:lineRule="auto"/>
              <w:ind w:left="-142" w:right="-77"/>
              <w:jc w:val="center"/>
              <w:textAlignment w:val="baseline"/>
              <w:rPr>
                <w:rFonts w:eastAsia="Times New Roman" w:cs="Arial"/>
                <w:sz w:val="20"/>
                <w:szCs w:val="20"/>
              </w:rPr>
            </w:pPr>
            <w:r>
              <w:rPr>
                <w:rFonts w:eastAsia="Times New Roman" w:cs="Arial"/>
                <w:sz w:val="20"/>
                <w:szCs w:val="20"/>
              </w:rPr>
              <w:t>ΕΖΔ - ΖΕΠ</w:t>
            </w:r>
          </w:p>
        </w:tc>
      </w:tr>
      <w:tr w14:paraId="10257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039" w:type="pct"/>
          </w:tcPr>
          <w:p w14:paraId="020E7655">
            <w:pPr>
              <w:overflowPunct w:val="0"/>
              <w:autoSpaceDE w:val="0"/>
              <w:autoSpaceDN w:val="0"/>
              <w:adjustRightInd w:val="0"/>
              <w:spacing w:before="60" w:after="60" w:line="259" w:lineRule="auto"/>
              <w:jc w:val="center"/>
              <w:textAlignment w:val="baseline"/>
              <w:rPr>
                <w:rFonts w:eastAsia="Times New Roman" w:cs="Arial"/>
                <w:sz w:val="20"/>
                <w:szCs w:val="20"/>
              </w:rPr>
            </w:pPr>
            <w:r>
              <w:rPr>
                <w:rFonts w:eastAsia="Times New Roman" w:cs="Arial"/>
                <w:sz w:val="20"/>
                <w:szCs w:val="20"/>
              </w:rPr>
              <w:t>GR2210002</w:t>
            </w:r>
          </w:p>
        </w:tc>
        <w:tc>
          <w:tcPr>
            <w:tcW w:w="3347" w:type="pct"/>
          </w:tcPr>
          <w:p w14:paraId="7FDE522C">
            <w:pPr>
              <w:overflowPunct w:val="0"/>
              <w:autoSpaceDE w:val="0"/>
              <w:autoSpaceDN w:val="0"/>
              <w:adjustRightInd w:val="0"/>
              <w:spacing w:before="60" w:after="60" w:line="259" w:lineRule="auto"/>
              <w:textAlignment w:val="baseline"/>
              <w:rPr>
                <w:rFonts w:eastAsia="Times New Roman" w:cs="Arial"/>
                <w:sz w:val="20"/>
                <w:szCs w:val="20"/>
                <w:lang w:val="el-GR"/>
              </w:rPr>
            </w:pPr>
            <w:r>
              <w:rPr>
                <w:rFonts w:eastAsia="Times New Roman" w:cs="Arial"/>
                <w:sz w:val="20"/>
                <w:szCs w:val="20"/>
                <w:lang w:val="el-GR"/>
              </w:rPr>
              <w:t>Κόλπος Λαγανά Ζακύνθου (Ακρ. Γεράκι - Κερί) και Μαραθονήσι και Πελούζο</w:t>
            </w:r>
          </w:p>
        </w:tc>
        <w:tc>
          <w:tcPr>
            <w:tcW w:w="614" w:type="pct"/>
          </w:tcPr>
          <w:p w14:paraId="0F036424">
            <w:pPr>
              <w:overflowPunct w:val="0"/>
              <w:autoSpaceDE w:val="0"/>
              <w:autoSpaceDN w:val="0"/>
              <w:adjustRightInd w:val="0"/>
              <w:spacing w:before="60" w:after="60" w:line="259" w:lineRule="auto"/>
              <w:ind w:left="-142" w:right="-77"/>
              <w:jc w:val="center"/>
              <w:textAlignment w:val="baseline"/>
              <w:rPr>
                <w:rFonts w:eastAsia="Times New Roman" w:cs="Arial"/>
                <w:sz w:val="20"/>
                <w:szCs w:val="20"/>
              </w:rPr>
            </w:pPr>
            <w:r>
              <w:rPr>
                <w:rFonts w:eastAsia="Times New Roman" w:cs="Arial"/>
                <w:sz w:val="20"/>
                <w:szCs w:val="20"/>
              </w:rPr>
              <w:t>ΕΖΔ</w:t>
            </w:r>
          </w:p>
        </w:tc>
      </w:tr>
      <w:tr w14:paraId="797E2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39" w:type="pct"/>
          </w:tcPr>
          <w:p w14:paraId="07634E05">
            <w:pPr>
              <w:overflowPunct w:val="0"/>
              <w:autoSpaceDE w:val="0"/>
              <w:autoSpaceDN w:val="0"/>
              <w:adjustRightInd w:val="0"/>
              <w:spacing w:before="60" w:after="60" w:line="259" w:lineRule="auto"/>
              <w:jc w:val="center"/>
              <w:textAlignment w:val="baseline"/>
              <w:rPr>
                <w:rFonts w:eastAsia="Times New Roman" w:cs="Arial"/>
                <w:sz w:val="20"/>
                <w:szCs w:val="20"/>
              </w:rPr>
            </w:pPr>
            <w:r>
              <w:rPr>
                <w:rFonts w:eastAsia="Times New Roman" w:cs="Arial"/>
                <w:sz w:val="20"/>
                <w:szCs w:val="20"/>
              </w:rPr>
              <w:t>GR2210003</w:t>
            </w:r>
          </w:p>
        </w:tc>
        <w:tc>
          <w:tcPr>
            <w:tcW w:w="3347" w:type="pct"/>
          </w:tcPr>
          <w:p w14:paraId="07B4C83F">
            <w:pPr>
              <w:overflowPunct w:val="0"/>
              <w:autoSpaceDE w:val="0"/>
              <w:autoSpaceDN w:val="0"/>
              <w:adjustRightInd w:val="0"/>
              <w:spacing w:before="60" w:after="60" w:line="259" w:lineRule="auto"/>
              <w:textAlignment w:val="baseline"/>
              <w:rPr>
                <w:rFonts w:eastAsia="Times New Roman" w:cs="Arial"/>
                <w:sz w:val="20"/>
                <w:szCs w:val="20"/>
              </w:rPr>
            </w:pPr>
            <w:r>
              <w:rPr>
                <w:rFonts w:eastAsia="Times New Roman" w:cs="Arial"/>
                <w:sz w:val="20"/>
                <w:szCs w:val="20"/>
              </w:rPr>
              <w:t>Στροφάδες</w:t>
            </w:r>
          </w:p>
        </w:tc>
        <w:tc>
          <w:tcPr>
            <w:tcW w:w="614" w:type="pct"/>
          </w:tcPr>
          <w:p w14:paraId="3D72D5BB">
            <w:pPr>
              <w:overflowPunct w:val="0"/>
              <w:autoSpaceDE w:val="0"/>
              <w:autoSpaceDN w:val="0"/>
              <w:adjustRightInd w:val="0"/>
              <w:spacing w:before="60" w:after="60" w:line="259" w:lineRule="auto"/>
              <w:jc w:val="center"/>
              <w:textAlignment w:val="baseline"/>
              <w:rPr>
                <w:rFonts w:eastAsia="Times New Roman" w:cs="Arial"/>
                <w:sz w:val="20"/>
                <w:szCs w:val="20"/>
              </w:rPr>
            </w:pPr>
            <w:r>
              <w:rPr>
                <w:rFonts w:eastAsia="Times New Roman" w:cs="Arial"/>
                <w:sz w:val="20"/>
                <w:szCs w:val="20"/>
              </w:rPr>
              <w:t>ΕΖΔ</w:t>
            </w:r>
          </w:p>
        </w:tc>
      </w:tr>
      <w:tr w14:paraId="496BD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39" w:type="pct"/>
          </w:tcPr>
          <w:p w14:paraId="789C5F39">
            <w:pPr>
              <w:overflowPunct w:val="0"/>
              <w:autoSpaceDE w:val="0"/>
              <w:autoSpaceDN w:val="0"/>
              <w:adjustRightInd w:val="0"/>
              <w:spacing w:before="60" w:after="60" w:line="259" w:lineRule="auto"/>
              <w:jc w:val="center"/>
              <w:textAlignment w:val="baseline"/>
              <w:rPr>
                <w:rFonts w:eastAsia="Times New Roman" w:cs="Arial"/>
                <w:sz w:val="20"/>
                <w:szCs w:val="20"/>
              </w:rPr>
            </w:pPr>
            <w:r>
              <w:rPr>
                <w:rFonts w:eastAsia="Times New Roman" w:cs="Arial"/>
                <w:sz w:val="20"/>
                <w:szCs w:val="20"/>
              </w:rPr>
              <w:t>GR2210004</w:t>
            </w:r>
          </w:p>
        </w:tc>
        <w:tc>
          <w:tcPr>
            <w:tcW w:w="3347" w:type="pct"/>
          </w:tcPr>
          <w:p w14:paraId="21FE0AEA">
            <w:pPr>
              <w:overflowPunct w:val="0"/>
              <w:autoSpaceDE w:val="0"/>
              <w:autoSpaceDN w:val="0"/>
              <w:adjustRightInd w:val="0"/>
              <w:spacing w:before="60" w:after="60" w:line="259" w:lineRule="auto"/>
              <w:textAlignment w:val="baseline"/>
              <w:rPr>
                <w:rFonts w:eastAsia="Times New Roman" w:cs="Arial"/>
                <w:sz w:val="20"/>
                <w:szCs w:val="20"/>
                <w:lang w:val="el-GR"/>
              </w:rPr>
            </w:pPr>
            <w:r>
              <w:rPr>
                <w:rFonts w:eastAsia="Times New Roman" w:cs="Arial"/>
                <w:sz w:val="20"/>
                <w:szCs w:val="20"/>
                <w:lang w:val="el-GR"/>
              </w:rPr>
              <w:t>Σταμφάνι και Αρπυιά (Στροφάδες) και θαλάσσια ζώνη</w:t>
            </w:r>
          </w:p>
        </w:tc>
        <w:tc>
          <w:tcPr>
            <w:tcW w:w="614" w:type="pct"/>
          </w:tcPr>
          <w:p w14:paraId="29F57A91">
            <w:pPr>
              <w:overflowPunct w:val="0"/>
              <w:autoSpaceDE w:val="0"/>
              <w:autoSpaceDN w:val="0"/>
              <w:adjustRightInd w:val="0"/>
              <w:spacing w:before="60" w:after="60" w:line="259" w:lineRule="auto"/>
              <w:jc w:val="center"/>
              <w:textAlignment w:val="baseline"/>
              <w:rPr>
                <w:rFonts w:eastAsia="Times New Roman" w:cs="Arial"/>
                <w:sz w:val="20"/>
                <w:szCs w:val="20"/>
              </w:rPr>
            </w:pPr>
            <w:r>
              <w:rPr>
                <w:rFonts w:eastAsia="Times New Roman" w:cs="Arial"/>
                <w:sz w:val="20"/>
                <w:szCs w:val="20"/>
              </w:rPr>
              <w:t>ΖΕΠ</w:t>
            </w:r>
          </w:p>
        </w:tc>
      </w:tr>
      <w:tr w14:paraId="5C24F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39" w:type="pct"/>
          </w:tcPr>
          <w:p w14:paraId="48666AEE">
            <w:pPr>
              <w:overflowPunct w:val="0"/>
              <w:autoSpaceDE w:val="0"/>
              <w:autoSpaceDN w:val="0"/>
              <w:adjustRightInd w:val="0"/>
              <w:spacing w:before="60" w:after="60" w:line="259" w:lineRule="auto"/>
              <w:jc w:val="center"/>
              <w:textAlignment w:val="baseline"/>
              <w:rPr>
                <w:rFonts w:eastAsia="Times New Roman" w:cs="Arial"/>
                <w:sz w:val="20"/>
                <w:szCs w:val="20"/>
              </w:rPr>
            </w:pPr>
            <w:r>
              <w:rPr>
                <w:rFonts w:eastAsia="Times New Roman" w:cs="Arial"/>
                <w:sz w:val="20"/>
                <w:szCs w:val="20"/>
              </w:rPr>
              <w:t>GR2220003</w:t>
            </w:r>
          </w:p>
        </w:tc>
        <w:tc>
          <w:tcPr>
            <w:tcW w:w="3347" w:type="pct"/>
          </w:tcPr>
          <w:p w14:paraId="1C21125E">
            <w:pPr>
              <w:overflowPunct w:val="0"/>
              <w:autoSpaceDE w:val="0"/>
              <w:autoSpaceDN w:val="0"/>
              <w:adjustRightInd w:val="0"/>
              <w:spacing w:before="60" w:after="60" w:line="259" w:lineRule="auto"/>
              <w:textAlignment w:val="baseline"/>
              <w:rPr>
                <w:rFonts w:eastAsia="Times New Roman" w:cs="Arial"/>
                <w:sz w:val="20"/>
                <w:szCs w:val="20"/>
                <w:lang w:val="el-GR"/>
              </w:rPr>
            </w:pPr>
            <w:r>
              <w:rPr>
                <w:rFonts w:eastAsia="Times New Roman" w:cs="Arial"/>
                <w:sz w:val="20"/>
                <w:szCs w:val="20"/>
                <w:lang w:val="el-GR"/>
              </w:rPr>
              <w:t>Εσωτερικό αρχιπέλαγος Ιονίου (Μεγανήσι, Αρκούδι, Άτοκος, Βρόμωνας)</w:t>
            </w:r>
          </w:p>
        </w:tc>
        <w:tc>
          <w:tcPr>
            <w:tcW w:w="614" w:type="pct"/>
          </w:tcPr>
          <w:p w14:paraId="3BCA54D3">
            <w:pPr>
              <w:overflowPunct w:val="0"/>
              <w:autoSpaceDE w:val="0"/>
              <w:autoSpaceDN w:val="0"/>
              <w:adjustRightInd w:val="0"/>
              <w:spacing w:before="60" w:after="60" w:line="259" w:lineRule="auto"/>
              <w:jc w:val="center"/>
              <w:textAlignment w:val="baseline"/>
              <w:rPr>
                <w:rFonts w:eastAsia="Times New Roman" w:cs="Arial"/>
                <w:sz w:val="20"/>
                <w:szCs w:val="20"/>
              </w:rPr>
            </w:pPr>
            <w:r>
              <w:rPr>
                <w:rFonts w:eastAsia="Times New Roman" w:cs="Arial"/>
                <w:sz w:val="20"/>
                <w:szCs w:val="20"/>
              </w:rPr>
              <w:t>ΕΖΔ</w:t>
            </w:r>
          </w:p>
        </w:tc>
      </w:tr>
      <w:tr w14:paraId="4A390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39" w:type="pct"/>
          </w:tcPr>
          <w:p w14:paraId="1033F3C1">
            <w:pPr>
              <w:overflowPunct w:val="0"/>
              <w:autoSpaceDE w:val="0"/>
              <w:autoSpaceDN w:val="0"/>
              <w:adjustRightInd w:val="0"/>
              <w:spacing w:before="60" w:after="60" w:line="259" w:lineRule="auto"/>
              <w:jc w:val="center"/>
              <w:textAlignment w:val="baseline"/>
              <w:rPr>
                <w:rFonts w:eastAsia="Times New Roman" w:cs="Arial"/>
                <w:sz w:val="20"/>
                <w:szCs w:val="20"/>
              </w:rPr>
            </w:pPr>
            <w:r>
              <w:rPr>
                <w:rFonts w:eastAsia="Times New Roman" w:cs="Arial"/>
                <w:sz w:val="20"/>
                <w:szCs w:val="20"/>
              </w:rPr>
              <w:t>GR2220004</w:t>
            </w:r>
          </w:p>
        </w:tc>
        <w:tc>
          <w:tcPr>
            <w:tcW w:w="3347" w:type="pct"/>
          </w:tcPr>
          <w:p w14:paraId="341AE0F8">
            <w:pPr>
              <w:overflowPunct w:val="0"/>
              <w:autoSpaceDE w:val="0"/>
              <w:autoSpaceDN w:val="0"/>
              <w:adjustRightInd w:val="0"/>
              <w:spacing w:before="60" w:after="60" w:line="259" w:lineRule="auto"/>
              <w:textAlignment w:val="baseline"/>
              <w:rPr>
                <w:rFonts w:eastAsia="Times New Roman" w:cs="Arial"/>
                <w:sz w:val="20"/>
                <w:szCs w:val="20"/>
                <w:lang w:val="el-GR"/>
              </w:rPr>
            </w:pPr>
            <w:r>
              <w:rPr>
                <w:rFonts w:eastAsia="Times New Roman" w:cs="Arial"/>
                <w:sz w:val="20"/>
                <w:szCs w:val="20"/>
                <w:lang w:val="el-GR"/>
              </w:rPr>
              <w:t>Παράκτια θαλάσσια ζώνη από Αργοστόλι έως Βλαχάτα (Κεφαλονιά) και όρμος Μούντα</w:t>
            </w:r>
          </w:p>
        </w:tc>
        <w:tc>
          <w:tcPr>
            <w:tcW w:w="614" w:type="pct"/>
          </w:tcPr>
          <w:p w14:paraId="06356A3B">
            <w:pPr>
              <w:overflowPunct w:val="0"/>
              <w:autoSpaceDE w:val="0"/>
              <w:autoSpaceDN w:val="0"/>
              <w:adjustRightInd w:val="0"/>
              <w:spacing w:before="60" w:after="60" w:line="259" w:lineRule="auto"/>
              <w:jc w:val="center"/>
              <w:textAlignment w:val="baseline"/>
              <w:rPr>
                <w:rFonts w:eastAsia="Times New Roman" w:cs="Arial"/>
                <w:sz w:val="20"/>
                <w:szCs w:val="20"/>
              </w:rPr>
            </w:pPr>
            <w:r>
              <w:rPr>
                <w:rFonts w:eastAsia="Times New Roman" w:cs="Arial"/>
                <w:sz w:val="20"/>
                <w:szCs w:val="20"/>
              </w:rPr>
              <w:t>ΕΖΔ</w:t>
            </w:r>
          </w:p>
        </w:tc>
      </w:tr>
      <w:tr w14:paraId="2F2CF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39" w:type="pct"/>
          </w:tcPr>
          <w:p w14:paraId="09F33558">
            <w:pPr>
              <w:overflowPunct w:val="0"/>
              <w:autoSpaceDE w:val="0"/>
              <w:autoSpaceDN w:val="0"/>
              <w:adjustRightInd w:val="0"/>
              <w:spacing w:before="60" w:after="60" w:line="259" w:lineRule="auto"/>
              <w:jc w:val="center"/>
              <w:textAlignment w:val="baseline"/>
              <w:rPr>
                <w:rFonts w:eastAsia="Times New Roman" w:cs="Arial"/>
                <w:sz w:val="20"/>
                <w:szCs w:val="20"/>
              </w:rPr>
            </w:pPr>
            <w:r>
              <w:rPr>
                <w:rFonts w:eastAsia="Times New Roman" w:cs="Arial"/>
                <w:sz w:val="20"/>
                <w:szCs w:val="20"/>
              </w:rPr>
              <w:t>GR2220005</w:t>
            </w:r>
          </w:p>
        </w:tc>
        <w:tc>
          <w:tcPr>
            <w:tcW w:w="3347" w:type="pct"/>
          </w:tcPr>
          <w:p w14:paraId="5252384D">
            <w:pPr>
              <w:overflowPunct w:val="0"/>
              <w:autoSpaceDE w:val="0"/>
              <w:autoSpaceDN w:val="0"/>
              <w:adjustRightInd w:val="0"/>
              <w:spacing w:before="60" w:after="60" w:line="259" w:lineRule="auto"/>
              <w:textAlignment w:val="baseline"/>
              <w:rPr>
                <w:rFonts w:eastAsia="Times New Roman" w:cs="Arial"/>
                <w:sz w:val="20"/>
                <w:szCs w:val="20"/>
              </w:rPr>
            </w:pPr>
            <w:r>
              <w:rPr>
                <w:rFonts w:eastAsia="Times New Roman" w:cs="Arial"/>
                <w:sz w:val="20"/>
                <w:szCs w:val="20"/>
                <w:lang w:val="el-GR"/>
              </w:rPr>
              <w:t xml:space="preserve">Δυτικές ακτές Κεφαλονιάς – Στενό Κεφαλονιάς Ιθάκης – Βόρεια Ιθάκη (Ακρωτήρια Γέρο Γκόμπος – Δράκου Πήδημα – Κεντρί – Αγ. </w:t>
            </w:r>
            <w:r>
              <w:rPr>
                <w:rFonts w:eastAsia="Times New Roman" w:cs="Arial"/>
                <w:sz w:val="20"/>
                <w:szCs w:val="20"/>
              </w:rPr>
              <w:t>Ιωάννης)</w:t>
            </w:r>
          </w:p>
        </w:tc>
        <w:tc>
          <w:tcPr>
            <w:tcW w:w="614" w:type="pct"/>
          </w:tcPr>
          <w:p w14:paraId="3746B8D1">
            <w:pPr>
              <w:overflowPunct w:val="0"/>
              <w:autoSpaceDE w:val="0"/>
              <w:autoSpaceDN w:val="0"/>
              <w:adjustRightInd w:val="0"/>
              <w:spacing w:before="60" w:after="60" w:line="259" w:lineRule="auto"/>
              <w:jc w:val="center"/>
              <w:textAlignment w:val="baseline"/>
              <w:rPr>
                <w:rFonts w:eastAsia="Times New Roman" w:cs="Arial"/>
                <w:sz w:val="20"/>
                <w:szCs w:val="20"/>
              </w:rPr>
            </w:pPr>
            <w:r>
              <w:rPr>
                <w:rFonts w:eastAsia="Times New Roman" w:cs="Arial"/>
                <w:sz w:val="20"/>
                <w:szCs w:val="20"/>
              </w:rPr>
              <w:t>ΕΖΔ</w:t>
            </w:r>
          </w:p>
        </w:tc>
      </w:tr>
      <w:tr w14:paraId="232A2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39" w:type="pct"/>
          </w:tcPr>
          <w:p w14:paraId="6A36078F">
            <w:pPr>
              <w:overflowPunct w:val="0"/>
              <w:autoSpaceDE w:val="0"/>
              <w:autoSpaceDN w:val="0"/>
              <w:adjustRightInd w:val="0"/>
              <w:spacing w:before="60" w:after="60" w:line="259" w:lineRule="auto"/>
              <w:jc w:val="center"/>
              <w:textAlignment w:val="baseline"/>
              <w:rPr>
                <w:rFonts w:eastAsia="Times New Roman" w:cs="Arial"/>
                <w:sz w:val="20"/>
                <w:szCs w:val="20"/>
              </w:rPr>
            </w:pPr>
            <w:r>
              <w:rPr>
                <w:rFonts w:eastAsia="Times New Roman" w:cs="Arial"/>
                <w:sz w:val="20"/>
                <w:szCs w:val="20"/>
              </w:rPr>
              <w:t>GR2220007</w:t>
            </w:r>
          </w:p>
        </w:tc>
        <w:tc>
          <w:tcPr>
            <w:tcW w:w="3347" w:type="pct"/>
          </w:tcPr>
          <w:p w14:paraId="35CCDE8E">
            <w:pPr>
              <w:overflowPunct w:val="0"/>
              <w:autoSpaceDE w:val="0"/>
              <w:autoSpaceDN w:val="0"/>
              <w:adjustRightInd w:val="0"/>
              <w:spacing w:before="60" w:after="60" w:line="259" w:lineRule="auto"/>
              <w:textAlignment w:val="baseline"/>
              <w:rPr>
                <w:rFonts w:eastAsia="Times New Roman" w:cs="Arial"/>
                <w:sz w:val="20"/>
                <w:szCs w:val="20"/>
                <w:lang w:val="el-GR"/>
              </w:rPr>
            </w:pPr>
            <w:r>
              <w:rPr>
                <w:rFonts w:eastAsia="Times New Roman" w:cs="Arial"/>
                <w:sz w:val="20"/>
                <w:szCs w:val="20"/>
                <w:lang w:val="el-GR"/>
              </w:rPr>
              <w:t>Θαλάσσια ζώνη από Αργοστόλι έως όρμο Μούντα</w:t>
            </w:r>
          </w:p>
        </w:tc>
        <w:tc>
          <w:tcPr>
            <w:tcW w:w="614" w:type="pct"/>
          </w:tcPr>
          <w:p w14:paraId="0F82ACC1">
            <w:pPr>
              <w:overflowPunct w:val="0"/>
              <w:autoSpaceDE w:val="0"/>
              <w:autoSpaceDN w:val="0"/>
              <w:adjustRightInd w:val="0"/>
              <w:spacing w:before="60" w:after="60" w:line="259" w:lineRule="auto"/>
              <w:jc w:val="center"/>
              <w:textAlignment w:val="baseline"/>
              <w:rPr>
                <w:rFonts w:eastAsia="Times New Roman" w:cs="Arial"/>
                <w:sz w:val="20"/>
                <w:szCs w:val="20"/>
              </w:rPr>
            </w:pPr>
            <w:r>
              <w:rPr>
                <w:rFonts w:eastAsia="Times New Roman" w:cs="Arial"/>
                <w:sz w:val="20"/>
                <w:szCs w:val="20"/>
              </w:rPr>
              <w:t>ΤΚΣ</w:t>
            </w:r>
          </w:p>
        </w:tc>
      </w:tr>
      <w:tr w14:paraId="4EC39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39" w:type="pct"/>
          </w:tcPr>
          <w:p w14:paraId="22265962">
            <w:pPr>
              <w:overflowPunct w:val="0"/>
              <w:autoSpaceDE w:val="0"/>
              <w:autoSpaceDN w:val="0"/>
              <w:adjustRightInd w:val="0"/>
              <w:spacing w:before="60" w:after="60" w:line="259" w:lineRule="auto"/>
              <w:jc w:val="center"/>
              <w:textAlignment w:val="baseline"/>
              <w:rPr>
                <w:rFonts w:eastAsia="Times New Roman" w:cs="Arial"/>
                <w:sz w:val="20"/>
                <w:szCs w:val="20"/>
              </w:rPr>
            </w:pPr>
            <w:r>
              <w:rPr>
                <w:rFonts w:eastAsia="Times New Roman" w:cs="Arial"/>
                <w:sz w:val="20"/>
                <w:szCs w:val="20"/>
              </w:rPr>
              <w:t>GR2330005</w:t>
            </w:r>
          </w:p>
        </w:tc>
        <w:tc>
          <w:tcPr>
            <w:tcW w:w="3347" w:type="pct"/>
          </w:tcPr>
          <w:p w14:paraId="343FC08C">
            <w:pPr>
              <w:overflowPunct w:val="0"/>
              <w:autoSpaceDE w:val="0"/>
              <w:autoSpaceDN w:val="0"/>
              <w:adjustRightInd w:val="0"/>
              <w:spacing w:before="60" w:after="60" w:line="259" w:lineRule="auto"/>
              <w:textAlignment w:val="baseline"/>
              <w:rPr>
                <w:rFonts w:eastAsia="Times New Roman" w:cs="Arial"/>
                <w:sz w:val="20"/>
                <w:szCs w:val="20"/>
                <w:lang w:val="el-GR"/>
              </w:rPr>
            </w:pPr>
            <w:r>
              <w:rPr>
                <w:rFonts w:eastAsia="Times New Roman" w:cs="Arial"/>
                <w:sz w:val="20"/>
                <w:szCs w:val="20"/>
                <w:lang w:val="el-GR"/>
              </w:rPr>
              <w:t>Θίνες και παράκτιο δάσος Ζαχάρως, Λίμνη Καϊάφα, Στροφυλιά, Κακόβατος</w:t>
            </w:r>
          </w:p>
        </w:tc>
        <w:tc>
          <w:tcPr>
            <w:tcW w:w="614" w:type="pct"/>
          </w:tcPr>
          <w:p w14:paraId="0CCA7A54">
            <w:pPr>
              <w:overflowPunct w:val="0"/>
              <w:autoSpaceDE w:val="0"/>
              <w:autoSpaceDN w:val="0"/>
              <w:adjustRightInd w:val="0"/>
              <w:spacing w:before="60" w:after="60" w:line="259" w:lineRule="auto"/>
              <w:jc w:val="center"/>
              <w:textAlignment w:val="baseline"/>
              <w:rPr>
                <w:rFonts w:eastAsia="Times New Roman" w:cs="Arial"/>
                <w:sz w:val="20"/>
                <w:szCs w:val="20"/>
              </w:rPr>
            </w:pPr>
            <w:r>
              <w:rPr>
                <w:rFonts w:eastAsia="Times New Roman" w:cs="Arial"/>
                <w:sz w:val="20"/>
                <w:szCs w:val="20"/>
              </w:rPr>
              <w:t>ΕΖΔ</w:t>
            </w:r>
          </w:p>
        </w:tc>
      </w:tr>
      <w:tr w14:paraId="72291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39" w:type="pct"/>
          </w:tcPr>
          <w:p w14:paraId="4066DAE7">
            <w:pPr>
              <w:overflowPunct w:val="0"/>
              <w:autoSpaceDE w:val="0"/>
              <w:autoSpaceDN w:val="0"/>
              <w:adjustRightInd w:val="0"/>
              <w:spacing w:before="60" w:after="60" w:line="259" w:lineRule="auto"/>
              <w:jc w:val="center"/>
              <w:textAlignment w:val="baseline"/>
              <w:rPr>
                <w:rFonts w:eastAsia="Times New Roman" w:cs="Arial"/>
                <w:sz w:val="20"/>
                <w:szCs w:val="20"/>
              </w:rPr>
            </w:pPr>
            <w:r>
              <w:rPr>
                <w:rFonts w:eastAsia="Times New Roman" w:cs="Arial"/>
                <w:sz w:val="20"/>
                <w:szCs w:val="20"/>
              </w:rPr>
              <w:t>GR2330008</w:t>
            </w:r>
          </w:p>
        </w:tc>
        <w:tc>
          <w:tcPr>
            <w:tcW w:w="3347" w:type="pct"/>
          </w:tcPr>
          <w:p w14:paraId="44E8B3B9">
            <w:pPr>
              <w:overflowPunct w:val="0"/>
              <w:autoSpaceDE w:val="0"/>
              <w:autoSpaceDN w:val="0"/>
              <w:adjustRightInd w:val="0"/>
              <w:spacing w:before="60" w:after="60" w:line="259" w:lineRule="auto"/>
              <w:textAlignment w:val="baseline"/>
              <w:rPr>
                <w:rFonts w:eastAsia="Times New Roman" w:cs="Arial"/>
                <w:sz w:val="20"/>
                <w:szCs w:val="20"/>
              </w:rPr>
            </w:pPr>
            <w:r>
              <w:rPr>
                <w:rFonts w:eastAsia="Times New Roman" w:cs="Arial"/>
                <w:sz w:val="20"/>
                <w:szCs w:val="20"/>
                <w:lang w:val="el-GR"/>
              </w:rPr>
              <w:t xml:space="preserve">Θαλάσσια περιοχή κόλπου Κυπαρισσίας: Ακρ. </w:t>
            </w:r>
            <w:r>
              <w:rPr>
                <w:rFonts w:eastAsia="Times New Roman" w:cs="Arial"/>
                <w:sz w:val="20"/>
                <w:szCs w:val="20"/>
              </w:rPr>
              <w:t>Κατάκολο - Κυπαρισσία</w:t>
            </w:r>
          </w:p>
        </w:tc>
        <w:tc>
          <w:tcPr>
            <w:tcW w:w="614" w:type="pct"/>
          </w:tcPr>
          <w:p w14:paraId="2E4397F3">
            <w:pPr>
              <w:overflowPunct w:val="0"/>
              <w:autoSpaceDE w:val="0"/>
              <w:autoSpaceDN w:val="0"/>
              <w:adjustRightInd w:val="0"/>
              <w:spacing w:before="60" w:after="60" w:line="259" w:lineRule="auto"/>
              <w:jc w:val="center"/>
              <w:textAlignment w:val="baseline"/>
              <w:rPr>
                <w:rFonts w:eastAsia="Times New Roman" w:cs="Arial"/>
                <w:sz w:val="20"/>
                <w:szCs w:val="20"/>
              </w:rPr>
            </w:pPr>
            <w:r>
              <w:rPr>
                <w:rFonts w:eastAsia="Times New Roman" w:cs="Arial"/>
                <w:sz w:val="20"/>
                <w:szCs w:val="20"/>
              </w:rPr>
              <w:t>ΕΖΔ</w:t>
            </w:r>
          </w:p>
        </w:tc>
      </w:tr>
      <w:tr w14:paraId="1A517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039" w:type="pct"/>
          </w:tcPr>
          <w:p w14:paraId="2CE3C75C">
            <w:pPr>
              <w:overflowPunct w:val="0"/>
              <w:autoSpaceDE w:val="0"/>
              <w:autoSpaceDN w:val="0"/>
              <w:adjustRightInd w:val="0"/>
              <w:spacing w:before="60" w:after="60" w:line="259" w:lineRule="auto"/>
              <w:jc w:val="center"/>
              <w:textAlignment w:val="baseline"/>
              <w:rPr>
                <w:rFonts w:eastAsia="Times New Roman" w:cs="Arial"/>
                <w:sz w:val="20"/>
                <w:szCs w:val="20"/>
              </w:rPr>
            </w:pPr>
            <w:r>
              <w:rPr>
                <w:rFonts w:eastAsia="Times New Roman" w:cs="Arial"/>
                <w:sz w:val="20"/>
                <w:szCs w:val="20"/>
              </w:rPr>
              <w:t>GR2550004</w:t>
            </w:r>
          </w:p>
        </w:tc>
        <w:tc>
          <w:tcPr>
            <w:tcW w:w="3347" w:type="pct"/>
          </w:tcPr>
          <w:p w14:paraId="3963D83C">
            <w:pPr>
              <w:overflowPunct w:val="0"/>
              <w:autoSpaceDE w:val="0"/>
              <w:autoSpaceDN w:val="0"/>
              <w:adjustRightInd w:val="0"/>
              <w:spacing w:before="60" w:after="60" w:line="259" w:lineRule="auto"/>
              <w:textAlignment w:val="baseline"/>
              <w:rPr>
                <w:rFonts w:eastAsia="Times New Roman" w:cs="Arial"/>
                <w:sz w:val="20"/>
                <w:szCs w:val="20"/>
                <w:lang w:val="el-GR"/>
              </w:rPr>
            </w:pPr>
            <w:r>
              <w:rPr>
                <w:rFonts w:eastAsia="Times New Roman" w:cs="Arial"/>
                <w:sz w:val="20"/>
                <w:szCs w:val="20"/>
                <w:lang w:val="el-GR"/>
              </w:rPr>
              <w:t>Λιμνοθάλασσα Πύλου (Διβάρι) και Σφακτηρία, Άγιος Δημήτριος</w:t>
            </w:r>
          </w:p>
        </w:tc>
        <w:tc>
          <w:tcPr>
            <w:tcW w:w="614" w:type="pct"/>
          </w:tcPr>
          <w:p w14:paraId="466B3809">
            <w:pPr>
              <w:overflowPunct w:val="0"/>
              <w:autoSpaceDE w:val="0"/>
              <w:autoSpaceDN w:val="0"/>
              <w:adjustRightInd w:val="0"/>
              <w:spacing w:before="60" w:after="60" w:line="259" w:lineRule="auto"/>
              <w:jc w:val="center"/>
              <w:textAlignment w:val="baseline"/>
              <w:rPr>
                <w:rFonts w:eastAsia="Times New Roman" w:cs="Arial"/>
                <w:sz w:val="20"/>
                <w:szCs w:val="20"/>
              </w:rPr>
            </w:pPr>
            <w:r>
              <w:rPr>
                <w:rFonts w:eastAsia="Times New Roman" w:cs="Arial"/>
                <w:sz w:val="20"/>
                <w:szCs w:val="20"/>
              </w:rPr>
              <w:t>ΕΖΔ</w:t>
            </w:r>
          </w:p>
        </w:tc>
      </w:tr>
      <w:tr w14:paraId="4B260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39" w:type="pct"/>
          </w:tcPr>
          <w:p w14:paraId="42DA1F4C">
            <w:pPr>
              <w:overflowPunct w:val="0"/>
              <w:autoSpaceDE w:val="0"/>
              <w:autoSpaceDN w:val="0"/>
              <w:adjustRightInd w:val="0"/>
              <w:spacing w:before="60" w:after="60" w:line="259" w:lineRule="auto"/>
              <w:jc w:val="center"/>
              <w:textAlignment w:val="baseline"/>
              <w:rPr>
                <w:rFonts w:eastAsia="Times New Roman" w:cs="Arial"/>
                <w:sz w:val="20"/>
                <w:szCs w:val="20"/>
              </w:rPr>
            </w:pPr>
            <w:r>
              <w:rPr>
                <w:rFonts w:eastAsia="Times New Roman" w:cs="Arial"/>
                <w:sz w:val="20"/>
                <w:szCs w:val="20"/>
              </w:rPr>
              <w:t>GR2550005</w:t>
            </w:r>
          </w:p>
        </w:tc>
        <w:tc>
          <w:tcPr>
            <w:tcW w:w="3347" w:type="pct"/>
          </w:tcPr>
          <w:p w14:paraId="44EF71EA">
            <w:pPr>
              <w:overflowPunct w:val="0"/>
              <w:autoSpaceDE w:val="0"/>
              <w:autoSpaceDN w:val="0"/>
              <w:adjustRightInd w:val="0"/>
              <w:spacing w:before="60" w:after="60" w:line="259" w:lineRule="auto"/>
              <w:textAlignment w:val="baseline"/>
              <w:rPr>
                <w:rFonts w:eastAsia="Times New Roman" w:cs="Arial"/>
                <w:sz w:val="20"/>
                <w:szCs w:val="20"/>
              </w:rPr>
            </w:pPr>
            <w:r>
              <w:rPr>
                <w:rFonts w:eastAsia="Times New Roman" w:cs="Arial"/>
                <w:sz w:val="20"/>
                <w:szCs w:val="20"/>
              </w:rPr>
              <w:t>Θίνες Κυπαρισσίας (Νεοχώρι – Κυπαρισσία)</w:t>
            </w:r>
          </w:p>
        </w:tc>
        <w:tc>
          <w:tcPr>
            <w:tcW w:w="614" w:type="pct"/>
          </w:tcPr>
          <w:p w14:paraId="30F1E68A">
            <w:pPr>
              <w:overflowPunct w:val="0"/>
              <w:autoSpaceDE w:val="0"/>
              <w:autoSpaceDN w:val="0"/>
              <w:adjustRightInd w:val="0"/>
              <w:spacing w:before="60" w:after="60" w:line="259" w:lineRule="auto"/>
              <w:jc w:val="center"/>
              <w:textAlignment w:val="baseline"/>
              <w:rPr>
                <w:rFonts w:eastAsia="Times New Roman" w:cs="Arial"/>
                <w:sz w:val="20"/>
                <w:szCs w:val="20"/>
              </w:rPr>
            </w:pPr>
            <w:r>
              <w:rPr>
                <w:rFonts w:eastAsia="Times New Roman" w:cs="Arial"/>
                <w:sz w:val="20"/>
                <w:szCs w:val="20"/>
              </w:rPr>
              <w:t>ΕΖΔ</w:t>
            </w:r>
          </w:p>
        </w:tc>
      </w:tr>
      <w:tr w14:paraId="19996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39" w:type="pct"/>
          </w:tcPr>
          <w:p w14:paraId="0E28CE83">
            <w:pPr>
              <w:overflowPunct w:val="0"/>
              <w:autoSpaceDE w:val="0"/>
              <w:autoSpaceDN w:val="0"/>
              <w:adjustRightInd w:val="0"/>
              <w:spacing w:before="60" w:after="60" w:line="259" w:lineRule="auto"/>
              <w:jc w:val="center"/>
              <w:textAlignment w:val="baseline"/>
              <w:rPr>
                <w:rFonts w:eastAsia="Times New Roman" w:cs="Arial"/>
                <w:sz w:val="20"/>
                <w:szCs w:val="20"/>
              </w:rPr>
            </w:pPr>
            <w:r>
              <w:rPr>
                <w:rFonts w:eastAsia="Times New Roman" w:cs="Arial"/>
                <w:sz w:val="20"/>
                <w:szCs w:val="20"/>
              </w:rPr>
              <w:t>GR2550007</w:t>
            </w:r>
          </w:p>
        </w:tc>
        <w:tc>
          <w:tcPr>
            <w:tcW w:w="3347" w:type="pct"/>
          </w:tcPr>
          <w:p w14:paraId="4E873C00">
            <w:pPr>
              <w:overflowPunct w:val="0"/>
              <w:autoSpaceDE w:val="0"/>
              <w:autoSpaceDN w:val="0"/>
              <w:adjustRightInd w:val="0"/>
              <w:spacing w:before="60" w:after="60" w:line="259" w:lineRule="auto"/>
              <w:textAlignment w:val="baseline"/>
              <w:rPr>
                <w:rFonts w:eastAsia="Times New Roman" w:cs="Arial"/>
                <w:sz w:val="20"/>
                <w:szCs w:val="20"/>
              </w:rPr>
            </w:pPr>
            <w:r>
              <w:rPr>
                <w:rFonts w:eastAsia="Times New Roman" w:cs="Arial"/>
                <w:sz w:val="20"/>
                <w:szCs w:val="20"/>
              </w:rPr>
              <w:t>Θαλάσσια περιοχή Στενού Μεθώνης</w:t>
            </w:r>
          </w:p>
        </w:tc>
        <w:tc>
          <w:tcPr>
            <w:tcW w:w="614" w:type="pct"/>
          </w:tcPr>
          <w:p w14:paraId="35159F9F">
            <w:pPr>
              <w:overflowPunct w:val="0"/>
              <w:autoSpaceDE w:val="0"/>
              <w:autoSpaceDN w:val="0"/>
              <w:adjustRightInd w:val="0"/>
              <w:spacing w:before="60" w:after="60" w:line="259" w:lineRule="auto"/>
              <w:jc w:val="center"/>
              <w:textAlignment w:val="baseline"/>
              <w:rPr>
                <w:rFonts w:eastAsia="Times New Roman" w:cs="Arial"/>
                <w:sz w:val="20"/>
                <w:szCs w:val="20"/>
              </w:rPr>
            </w:pPr>
            <w:r>
              <w:rPr>
                <w:rFonts w:eastAsia="Times New Roman" w:cs="Arial"/>
                <w:sz w:val="20"/>
                <w:szCs w:val="20"/>
              </w:rPr>
              <w:t>ΕΖΔ</w:t>
            </w:r>
          </w:p>
        </w:tc>
      </w:tr>
      <w:tr w14:paraId="3E2AA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39" w:type="pct"/>
          </w:tcPr>
          <w:p w14:paraId="2CD828C2">
            <w:pPr>
              <w:overflowPunct w:val="0"/>
              <w:autoSpaceDE w:val="0"/>
              <w:autoSpaceDN w:val="0"/>
              <w:adjustRightInd w:val="0"/>
              <w:spacing w:before="60" w:after="60" w:line="259" w:lineRule="auto"/>
              <w:jc w:val="center"/>
              <w:textAlignment w:val="baseline"/>
              <w:rPr>
                <w:rFonts w:eastAsia="Times New Roman" w:cs="Arial"/>
                <w:sz w:val="20"/>
                <w:szCs w:val="20"/>
              </w:rPr>
            </w:pPr>
            <w:r>
              <w:rPr>
                <w:rFonts w:eastAsia="Times New Roman" w:cs="Arial"/>
                <w:sz w:val="20"/>
                <w:szCs w:val="20"/>
              </w:rPr>
              <w:t>GR2550010</w:t>
            </w:r>
          </w:p>
        </w:tc>
        <w:tc>
          <w:tcPr>
            <w:tcW w:w="3347" w:type="pct"/>
          </w:tcPr>
          <w:p w14:paraId="7BA06FF7">
            <w:pPr>
              <w:overflowPunct w:val="0"/>
              <w:autoSpaceDE w:val="0"/>
              <w:autoSpaceDN w:val="0"/>
              <w:adjustRightInd w:val="0"/>
              <w:spacing w:before="60" w:after="60" w:line="259" w:lineRule="auto"/>
              <w:textAlignment w:val="baseline"/>
              <w:rPr>
                <w:rFonts w:eastAsia="Times New Roman" w:cs="Arial"/>
                <w:sz w:val="20"/>
                <w:szCs w:val="20"/>
              </w:rPr>
            </w:pPr>
            <w:r>
              <w:rPr>
                <w:rFonts w:eastAsia="Times New Roman" w:cs="Arial"/>
                <w:sz w:val="20"/>
                <w:szCs w:val="20"/>
              </w:rPr>
              <w:t>Θαλάσσια περιοχή Νότιας Μεσσηνίας</w:t>
            </w:r>
          </w:p>
        </w:tc>
        <w:tc>
          <w:tcPr>
            <w:tcW w:w="614" w:type="pct"/>
          </w:tcPr>
          <w:p w14:paraId="54F46099">
            <w:pPr>
              <w:overflowPunct w:val="0"/>
              <w:autoSpaceDE w:val="0"/>
              <w:autoSpaceDN w:val="0"/>
              <w:adjustRightInd w:val="0"/>
              <w:spacing w:before="60" w:after="60" w:line="259" w:lineRule="auto"/>
              <w:jc w:val="center"/>
              <w:textAlignment w:val="baseline"/>
              <w:rPr>
                <w:rFonts w:eastAsia="Times New Roman" w:cs="Arial"/>
                <w:sz w:val="20"/>
                <w:szCs w:val="20"/>
              </w:rPr>
            </w:pPr>
            <w:r>
              <w:rPr>
                <w:rFonts w:eastAsia="Times New Roman" w:cs="Arial"/>
                <w:sz w:val="20"/>
                <w:szCs w:val="20"/>
              </w:rPr>
              <w:t>ΤΚΣ</w:t>
            </w:r>
          </w:p>
        </w:tc>
      </w:tr>
      <w:tr w14:paraId="3461A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39" w:type="pct"/>
          </w:tcPr>
          <w:p w14:paraId="06A79D6D">
            <w:pPr>
              <w:overflowPunct w:val="0"/>
              <w:autoSpaceDE w:val="0"/>
              <w:autoSpaceDN w:val="0"/>
              <w:adjustRightInd w:val="0"/>
              <w:spacing w:before="60" w:after="60" w:line="259" w:lineRule="auto"/>
              <w:jc w:val="center"/>
              <w:textAlignment w:val="baseline"/>
              <w:rPr>
                <w:rFonts w:eastAsia="Times New Roman" w:cs="Arial"/>
                <w:sz w:val="20"/>
                <w:szCs w:val="20"/>
              </w:rPr>
            </w:pPr>
            <w:r>
              <w:rPr>
                <w:rFonts w:eastAsia="Times New Roman" w:cs="Arial"/>
                <w:sz w:val="20"/>
                <w:szCs w:val="20"/>
              </w:rPr>
              <w:t>GR2540002</w:t>
            </w:r>
          </w:p>
        </w:tc>
        <w:tc>
          <w:tcPr>
            <w:tcW w:w="3347" w:type="pct"/>
          </w:tcPr>
          <w:p w14:paraId="674F106C">
            <w:pPr>
              <w:overflowPunct w:val="0"/>
              <w:autoSpaceDE w:val="0"/>
              <w:autoSpaceDN w:val="0"/>
              <w:adjustRightInd w:val="0"/>
              <w:spacing w:before="60" w:after="60" w:line="259" w:lineRule="auto"/>
              <w:textAlignment w:val="baseline"/>
              <w:rPr>
                <w:rFonts w:eastAsia="Times New Roman" w:cs="Arial"/>
                <w:sz w:val="20"/>
                <w:szCs w:val="20"/>
                <w:lang w:val="el-GR"/>
              </w:rPr>
            </w:pPr>
            <w:r>
              <w:rPr>
                <w:rFonts w:eastAsia="Times New Roman" w:cs="Arial"/>
                <w:sz w:val="20"/>
                <w:szCs w:val="20"/>
                <w:lang w:val="el-GR"/>
              </w:rPr>
              <w:t>Περιοχή Νεάπολης και Ελαφόνησος</w:t>
            </w:r>
          </w:p>
        </w:tc>
        <w:tc>
          <w:tcPr>
            <w:tcW w:w="614" w:type="pct"/>
          </w:tcPr>
          <w:p w14:paraId="5F35F76B">
            <w:pPr>
              <w:overflowPunct w:val="0"/>
              <w:autoSpaceDE w:val="0"/>
              <w:autoSpaceDN w:val="0"/>
              <w:adjustRightInd w:val="0"/>
              <w:spacing w:before="60" w:after="60" w:line="259" w:lineRule="auto"/>
              <w:jc w:val="center"/>
              <w:textAlignment w:val="baseline"/>
              <w:rPr>
                <w:rFonts w:eastAsia="Times New Roman" w:cs="Arial"/>
                <w:sz w:val="20"/>
                <w:szCs w:val="20"/>
              </w:rPr>
            </w:pPr>
            <w:r>
              <w:rPr>
                <w:rFonts w:eastAsia="Times New Roman" w:cs="Arial"/>
                <w:sz w:val="20"/>
                <w:szCs w:val="20"/>
              </w:rPr>
              <w:t>ΕΖΔ</w:t>
            </w:r>
          </w:p>
        </w:tc>
      </w:tr>
      <w:tr w14:paraId="7551B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39" w:type="pct"/>
          </w:tcPr>
          <w:p w14:paraId="21F18983">
            <w:pPr>
              <w:overflowPunct w:val="0"/>
              <w:autoSpaceDE w:val="0"/>
              <w:autoSpaceDN w:val="0"/>
              <w:adjustRightInd w:val="0"/>
              <w:spacing w:before="60" w:after="60" w:line="259" w:lineRule="auto"/>
              <w:jc w:val="center"/>
              <w:textAlignment w:val="baseline"/>
              <w:rPr>
                <w:rFonts w:eastAsia="Times New Roman" w:cs="Arial"/>
                <w:sz w:val="20"/>
                <w:szCs w:val="20"/>
              </w:rPr>
            </w:pPr>
            <w:r>
              <w:rPr>
                <w:rFonts w:eastAsia="Times New Roman" w:cs="Arial"/>
                <w:sz w:val="20"/>
                <w:szCs w:val="20"/>
              </w:rPr>
              <w:t>GR2550003</w:t>
            </w:r>
          </w:p>
        </w:tc>
        <w:tc>
          <w:tcPr>
            <w:tcW w:w="3347" w:type="pct"/>
          </w:tcPr>
          <w:p w14:paraId="4A353317">
            <w:pPr>
              <w:overflowPunct w:val="0"/>
              <w:autoSpaceDE w:val="0"/>
              <w:autoSpaceDN w:val="0"/>
              <w:adjustRightInd w:val="0"/>
              <w:spacing w:before="60" w:after="60" w:line="259" w:lineRule="auto"/>
              <w:textAlignment w:val="baseline"/>
              <w:rPr>
                <w:rFonts w:eastAsia="Times New Roman" w:cs="Arial"/>
                <w:sz w:val="20"/>
                <w:szCs w:val="20"/>
                <w:lang w:val="el-GR"/>
              </w:rPr>
            </w:pPr>
            <w:r>
              <w:rPr>
                <w:rFonts w:eastAsia="Times New Roman" w:cs="Arial"/>
                <w:sz w:val="20"/>
                <w:szCs w:val="20"/>
                <w:lang w:val="el-GR"/>
              </w:rPr>
              <w:t>Σαπιέντζα και Σχίζα, Ακρωτήριο Ακρίτας</w:t>
            </w:r>
          </w:p>
        </w:tc>
        <w:tc>
          <w:tcPr>
            <w:tcW w:w="614" w:type="pct"/>
          </w:tcPr>
          <w:p w14:paraId="75F5E4A6">
            <w:pPr>
              <w:overflowPunct w:val="0"/>
              <w:autoSpaceDE w:val="0"/>
              <w:autoSpaceDN w:val="0"/>
              <w:adjustRightInd w:val="0"/>
              <w:spacing w:before="60" w:after="60" w:line="259" w:lineRule="auto"/>
              <w:jc w:val="center"/>
              <w:textAlignment w:val="baseline"/>
              <w:rPr>
                <w:rFonts w:eastAsia="Times New Roman" w:cs="Arial"/>
                <w:sz w:val="20"/>
                <w:szCs w:val="20"/>
              </w:rPr>
            </w:pPr>
            <w:r>
              <w:rPr>
                <w:rFonts w:eastAsia="Times New Roman" w:cs="Arial"/>
                <w:sz w:val="20"/>
                <w:szCs w:val="20"/>
              </w:rPr>
              <w:t>ΕΖΔ</w:t>
            </w:r>
          </w:p>
        </w:tc>
      </w:tr>
      <w:tr w14:paraId="2DAAD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39" w:type="pct"/>
          </w:tcPr>
          <w:p w14:paraId="5B27A9BB">
            <w:pPr>
              <w:overflowPunct w:val="0"/>
              <w:autoSpaceDE w:val="0"/>
              <w:autoSpaceDN w:val="0"/>
              <w:adjustRightInd w:val="0"/>
              <w:spacing w:before="60" w:after="60" w:line="259" w:lineRule="auto"/>
              <w:jc w:val="center"/>
              <w:textAlignment w:val="baseline"/>
              <w:rPr>
                <w:rFonts w:eastAsia="Times New Roman" w:cs="Arial"/>
                <w:sz w:val="20"/>
                <w:szCs w:val="20"/>
              </w:rPr>
            </w:pPr>
            <w:r>
              <w:rPr>
                <w:rFonts w:eastAsia="Times New Roman" w:cs="Arial"/>
                <w:sz w:val="20"/>
                <w:szCs w:val="20"/>
              </w:rPr>
              <w:t>GR2540003</w:t>
            </w:r>
          </w:p>
        </w:tc>
        <w:tc>
          <w:tcPr>
            <w:tcW w:w="3347" w:type="pct"/>
          </w:tcPr>
          <w:p w14:paraId="1BA74AC5">
            <w:pPr>
              <w:overflowPunct w:val="0"/>
              <w:autoSpaceDE w:val="0"/>
              <w:autoSpaceDN w:val="0"/>
              <w:adjustRightInd w:val="0"/>
              <w:spacing w:before="60" w:after="60" w:line="259" w:lineRule="auto"/>
              <w:textAlignment w:val="baseline"/>
              <w:rPr>
                <w:rFonts w:eastAsia="Times New Roman" w:cs="Arial"/>
                <w:sz w:val="20"/>
                <w:szCs w:val="20"/>
                <w:lang w:val="el-GR"/>
              </w:rPr>
            </w:pPr>
            <w:r>
              <w:rPr>
                <w:rFonts w:eastAsia="Times New Roman" w:cs="Arial"/>
                <w:sz w:val="20"/>
                <w:szCs w:val="20"/>
                <w:lang w:val="el-GR"/>
              </w:rPr>
              <w:t>Εκβολές Ευρώτα, περιοχή Βρονταμά και θαλάσσια περιοχή Λακωνικού κόλπου</w:t>
            </w:r>
          </w:p>
        </w:tc>
        <w:tc>
          <w:tcPr>
            <w:tcW w:w="614" w:type="pct"/>
          </w:tcPr>
          <w:p w14:paraId="7BEC2741">
            <w:pPr>
              <w:overflowPunct w:val="0"/>
              <w:autoSpaceDE w:val="0"/>
              <w:autoSpaceDN w:val="0"/>
              <w:adjustRightInd w:val="0"/>
              <w:spacing w:before="60" w:after="60" w:line="259" w:lineRule="auto"/>
              <w:jc w:val="center"/>
              <w:textAlignment w:val="baseline"/>
              <w:rPr>
                <w:rFonts w:eastAsia="Times New Roman" w:cs="Arial"/>
                <w:sz w:val="20"/>
                <w:szCs w:val="20"/>
              </w:rPr>
            </w:pPr>
            <w:r>
              <w:rPr>
                <w:rFonts w:eastAsia="Times New Roman" w:cs="Arial"/>
                <w:sz w:val="20"/>
                <w:szCs w:val="20"/>
              </w:rPr>
              <w:t>ΕΖΔ - ΤΚΣ</w:t>
            </w:r>
          </w:p>
        </w:tc>
      </w:tr>
      <w:tr w14:paraId="43AFF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39" w:type="pct"/>
          </w:tcPr>
          <w:p w14:paraId="0D3753C4">
            <w:pPr>
              <w:overflowPunct w:val="0"/>
              <w:autoSpaceDE w:val="0"/>
              <w:autoSpaceDN w:val="0"/>
              <w:adjustRightInd w:val="0"/>
              <w:spacing w:before="60" w:after="60" w:line="259" w:lineRule="auto"/>
              <w:jc w:val="center"/>
              <w:textAlignment w:val="baseline"/>
              <w:rPr>
                <w:rFonts w:eastAsia="Times New Roman" w:cs="Arial"/>
                <w:sz w:val="20"/>
                <w:szCs w:val="20"/>
              </w:rPr>
            </w:pPr>
            <w:r>
              <w:rPr>
                <w:rFonts w:eastAsia="Times New Roman" w:cs="Arial"/>
                <w:sz w:val="20"/>
                <w:szCs w:val="20"/>
              </w:rPr>
              <w:t>GR2540008</w:t>
            </w:r>
          </w:p>
        </w:tc>
        <w:tc>
          <w:tcPr>
            <w:tcW w:w="3347" w:type="pct"/>
          </w:tcPr>
          <w:p w14:paraId="1E954BBD">
            <w:pPr>
              <w:overflowPunct w:val="0"/>
              <w:autoSpaceDE w:val="0"/>
              <w:autoSpaceDN w:val="0"/>
              <w:adjustRightInd w:val="0"/>
              <w:spacing w:before="60" w:after="60" w:line="259" w:lineRule="auto"/>
              <w:textAlignment w:val="baseline"/>
              <w:rPr>
                <w:rFonts w:eastAsia="Times New Roman" w:cs="Arial"/>
                <w:sz w:val="20"/>
                <w:szCs w:val="20"/>
              </w:rPr>
            </w:pPr>
            <w:r>
              <w:rPr>
                <w:rFonts w:eastAsia="Times New Roman" w:cs="Arial"/>
                <w:sz w:val="20"/>
                <w:szCs w:val="20"/>
              </w:rPr>
              <w:t>Νότια Μάνη</w:t>
            </w:r>
          </w:p>
        </w:tc>
        <w:tc>
          <w:tcPr>
            <w:tcW w:w="614" w:type="pct"/>
          </w:tcPr>
          <w:p w14:paraId="60875AB7">
            <w:pPr>
              <w:overflowPunct w:val="0"/>
              <w:autoSpaceDE w:val="0"/>
              <w:autoSpaceDN w:val="0"/>
              <w:adjustRightInd w:val="0"/>
              <w:spacing w:before="60" w:after="60" w:line="259" w:lineRule="auto"/>
              <w:jc w:val="center"/>
              <w:textAlignment w:val="baseline"/>
              <w:rPr>
                <w:rFonts w:eastAsia="Times New Roman" w:cs="Arial"/>
                <w:sz w:val="20"/>
                <w:szCs w:val="20"/>
              </w:rPr>
            </w:pPr>
            <w:r>
              <w:rPr>
                <w:rFonts w:eastAsia="Times New Roman" w:cs="Arial"/>
                <w:sz w:val="20"/>
                <w:szCs w:val="20"/>
              </w:rPr>
              <w:t>ΖΕΠ</w:t>
            </w:r>
          </w:p>
        </w:tc>
      </w:tr>
      <w:tr w14:paraId="6531E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39" w:type="pct"/>
          </w:tcPr>
          <w:p w14:paraId="5168CCDD">
            <w:pPr>
              <w:overflowPunct w:val="0"/>
              <w:autoSpaceDE w:val="0"/>
              <w:autoSpaceDN w:val="0"/>
              <w:adjustRightInd w:val="0"/>
              <w:spacing w:before="60" w:after="60" w:line="259" w:lineRule="auto"/>
              <w:jc w:val="center"/>
              <w:textAlignment w:val="baseline"/>
              <w:rPr>
                <w:rFonts w:eastAsia="Times New Roman" w:cs="Arial"/>
                <w:sz w:val="20"/>
                <w:szCs w:val="20"/>
              </w:rPr>
            </w:pPr>
            <w:r>
              <w:rPr>
                <w:rFonts w:eastAsia="Times New Roman" w:cs="Arial"/>
                <w:sz w:val="20"/>
                <w:szCs w:val="20"/>
              </w:rPr>
              <w:t>GR2540009</w:t>
            </w:r>
          </w:p>
        </w:tc>
        <w:tc>
          <w:tcPr>
            <w:tcW w:w="3347" w:type="pct"/>
          </w:tcPr>
          <w:p w14:paraId="3C8827AE">
            <w:pPr>
              <w:overflowPunct w:val="0"/>
              <w:autoSpaceDE w:val="0"/>
              <w:autoSpaceDN w:val="0"/>
              <w:adjustRightInd w:val="0"/>
              <w:spacing w:before="60" w:after="60" w:line="259" w:lineRule="auto"/>
              <w:textAlignment w:val="baseline"/>
              <w:rPr>
                <w:rFonts w:eastAsia="Times New Roman" w:cs="Arial"/>
                <w:sz w:val="20"/>
                <w:szCs w:val="20"/>
              </w:rPr>
            </w:pPr>
            <w:r>
              <w:rPr>
                <w:rFonts w:eastAsia="Times New Roman" w:cs="Arial"/>
                <w:sz w:val="20"/>
                <w:szCs w:val="20"/>
              </w:rPr>
              <w:t>Θαλάσσια ζώνη νότιας Μάνης</w:t>
            </w:r>
          </w:p>
        </w:tc>
        <w:tc>
          <w:tcPr>
            <w:tcW w:w="614" w:type="pct"/>
          </w:tcPr>
          <w:p w14:paraId="4E671F8B">
            <w:pPr>
              <w:overflowPunct w:val="0"/>
              <w:autoSpaceDE w:val="0"/>
              <w:autoSpaceDN w:val="0"/>
              <w:adjustRightInd w:val="0"/>
              <w:spacing w:before="60" w:after="60" w:line="259" w:lineRule="auto"/>
              <w:jc w:val="center"/>
              <w:textAlignment w:val="baseline"/>
              <w:rPr>
                <w:rFonts w:eastAsia="Times New Roman" w:cs="Arial"/>
                <w:sz w:val="20"/>
                <w:szCs w:val="20"/>
              </w:rPr>
            </w:pPr>
            <w:r>
              <w:rPr>
                <w:rFonts w:eastAsia="Times New Roman" w:cs="Arial"/>
                <w:sz w:val="20"/>
                <w:szCs w:val="20"/>
              </w:rPr>
              <w:t>ΤΚΣ</w:t>
            </w:r>
          </w:p>
        </w:tc>
      </w:tr>
      <w:tr w14:paraId="163EE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39" w:type="pct"/>
          </w:tcPr>
          <w:p w14:paraId="47BC6526">
            <w:pPr>
              <w:overflowPunct w:val="0"/>
              <w:autoSpaceDE w:val="0"/>
              <w:autoSpaceDN w:val="0"/>
              <w:adjustRightInd w:val="0"/>
              <w:spacing w:before="60" w:after="60" w:line="259" w:lineRule="auto"/>
              <w:jc w:val="center"/>
              <w:textAlignment w:val="baseline"/>
              <w:rPr>
                <w:rFonts w:eastAsia="Times New Roman" w:cs="Arial"/>
                <w:sz w:val="20"/>
                <w:szCs w:val="20"/>
              </w:rPr>
            </w:pPr>
            <w:r>
              <w:rPr>
                <w:rFonts w:eastAsia="Times New Roman" w:cs="Arial"/>
                <w:sz w:val="20"/>
                <w:szCs w:val="20"/>
              </w:rPr>
              <w:t>GR3000008</w:t>
            </w:r>
          </w:p>
        </w:tc>
        <w:tc>
          <w:tcPr>
            <w:tcW w:w="3347" w:type="pct"/>
          </w:tcPr>
          <w:p w14:paraId="21813022">
            <w:pPr>
              <w:overflowPunct w:val="0"/>
              <w:autoSpaceDE w:val="0"/>
              <w:autoSpaceDN w:val="0"/>
              <w:adjustRightInd w:val="0"/>
              <w:spacing w:before="60" w:after="60" w:line="259" w:lineRule="auto"/>
              <w:textAlignment w:val="baseline"/>
              <w:rPr>
                <w:rFonts w:eastAsia="Times New Roman" w:cs="Arial"/>
                <w:sz w:val="20"/>
                <w:szCs w:val="20"/>
              </w:rPr>
            </w:pPr>
            <w:r>
              <w:rPr>
                <w:rFonts w:eastAsia="Times New Roman" w:cs="Arial"/>
                <w:sz w:val="20"/>
                <w:szCs w:val="20"/>
              </w:rPr>
              <w:t>Αντικύθηρα – Πρασσονήσι και Λαγουβάρδος</w:t>
            </w:r>
          </w:p>
        </w:tc>
        <w:tc>
          <w:tcPr>
            <w:tcW w:w="614" w:type="pct"/>
          </w:tcPr>
          <w:p w14:paraId="74204D35">
            <w:pPr>
              <w:overflowPunct w:val="0"/>
              <w:autoSpaceDE w:val="0"/>
              <w:autoSpaceDN w:val="0"/>
              <w:adjustRightInd w:val="0"/>
              <w:spacing w:before="60" w:after="60" w:line="259" w:lineRule="auto"/>
              <w:jc w:val="center"/>
              <w:textAlignment w:val="baseline"/>
              <w:rPr>
                <w:rFonts w:eastAsia="Times New Roman" w:cs="Arial"/>
                <w:sz w:val="20"/>
                <w:szCs w:val="20"/>
              </w:rPr>
            </w:pPr>
            <w:r>
              <w:rPr>
                <w:rFonts w:eastAsia="Times New Roman" w:cs="Arial"/>
                <w:sz w:val="20"/>
                <w:szCs w:val="20"/>
              </w:rPr>
              <w:t>ΕΖΔ</w:t>
            </w:r>
          </w:p>
        </w:tc>
      </w:tr>
      <w:tr w14:paraId="2C804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39" w:type="pct"/>
          </w:tcPr>
          <w:p w14:paraId="064B011D">
            <w:pPr>
              <w:overflowPunct w:val="0"/>
              <w:autoSpaceDE w:val="0"/>
              <w:autoSpaceDN w:val="0"/>
              <w:adjustRightInd w:val="0"/>
              <w:spacing w:before="60" w:after="60" w:line="259" w:lineRule="auto"/>
              <w:jc w:val="center"/>
              <w:textAlignment w:val="baseline"/>
              <w:rPr>
                <w:rFonts w:eastAsia="Times New Roman" w:cs="Arial"/>
                <w:sz w:val="20"/>
                <w:szCs w:val="20"/>
              </w:rPr>
            </w:pPr>
            <w:r>
              <w:rPr>
                <w:rFonts w:eastAsia="Times New Roman" w:cs="Arial"/>
                <w:sz w:val="20"/>
                <w:szCs w:val="20"/>
              </w:rPr>
              <w:t>GR3000010</w:t>
            </w:r>
          </w:p>
        </w:tc>
        <w:tc>
          <w:tcPr>
            <w:tcW w:w="3347" w:type="pct"/>
          </w:tcPr>
          <w:p w14:paraId="06767587">
            <w:pPr>
              <w:overflowPunct w:val="0"/>
              <w:autoSpaceDE w:val="0"/>
              <w:autoSpaceDN w:val="0"/>
              <w:adjustRightInd w:val="0"/>
              <w:spacing w:before="60" w:after="60" w:line="259" w:lineRule="auto"/>
              <w:textAlignment w:val="baseline"/>
              <w:rPr>
                <w:rFonts w:eastAsia="Times New Roman" w:cs="Arial"/>
                <w:sz w:val="20"/>
                <w:szCs w:val="20"/>
                <w:lang w:val="el-GR"/>
              </w:rPr>
            </w:pPr>
            <w:r>
              <w:rPr>
                <w:rFonts w:eastAsia="Times New Roman" w:cs="Arial"/>
                <w:sz w:val="20"/>
                <w:szCs w:val="20"/>
                <w:lang w:val="el-GR"/>
              </w:rPr>
              <w:t>Κύθηρα: Πρασσονήσι, Δραγονέρα, Αντιδραγονέρα</w:t>
            </w:r>
          </w:p>
        </w:tc>
        <w:tc>
          <w:tcPr>
            <w:tcW w:w="614" w:type="pct"/>
          </w:tcPr>
          <w:p w14:paraId="0987742B">
            <w:pPr>
              <w:overflowPunct w:val="0"/>
              <w:autoSpaceDE w:val="0"/>
              <w:autoSpaceDN w:val="0"/>
              <w:adjustRightInd w:val="0"/>
              <w:spacing w:before="60" w:after="60" w:line="259" w:lineRule="auto"/>
              <w:jc w:val="center"/>
              <w:textAlignment w:val="baseline"/>
              <w:rPr>
                <w:rFonts w:eastAsia="Times New Roman" w:cs="Arial"/>
                <w:sz w:val="20"/>
                <w:szCs w:val="20"/>
              </w:rPr>
            </w:pPr>
            <w:r>
              <w:rPr>
                <w:rFonts w:eastAsia="Times New Roman" w:cs="Arial"/>
                <w:sz w:val="20"/>
                <w:szCs w:val="20"/>
              </w:rPr>
              <w:t>ΕΖΔ</w:t>
            </w:r>
          </w:p>
        </w:tc>
      </w:tr>
      <w:tr w14:paraId="3FCE1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39" w:type="pct"/>
          </w:tcPr>
          <w:p w14:paraId="50C8F285">
            <w:pPr>
              <w:overflowPunct w:val="0"/>
              <w:autoSpaceDE w:val="0"/>
              <w:autoSpaceDN w:val="0"/>
              <w:adjustRightInd w:val="0"/>
              <w:spacing w:before="60" w:after="60" w:line="259" w:lineRule="auto"/>
              <w:jc w:val="center"/>
              <w:textAlignment w:val="baseline"/>
              <w:rPr>
                <w:rFonts w:eastAsia="Times New Roman" w:cs="Arial"/>
                <w:sz w:val="20"/>
                <w:szCs w:val="20"/>
              </w:rPr>
            </w:pPr>
            <w:r>
              <w:rPr>
                <w:rFonts w:eastAsia="Times New Roman" w:cs="Arial"/>
                <w:sz w:val="20"/>
                <w:szCs w:val="20"/>
              </w:rPr>
              <w:t>GR3000012</w:t>
            </w:r>
          </w:p>
        </w:tc>
        <w:tc>
          <w:tcPr>
            <w:tcW w:w="3347" w:type="pct"/>
          </w:tcPr>
          <w:p w14:paraId="480CBDC5">
            <w:pPr>
              <w:overflowPunct w:val="0"/>
              <w:autoSpaceDE w:val="0"/>
              <w:autoSpaceDN w:val="0"/>
              <w:adjustRightInd w:val="0"/>
              <w:spacing w:before="60" w:after="60" w:line="259" w:lineRule="auto"/>
              <w:textAlignment w:val="baseline"/>
              <w:rPr>
                <w:rFonts w:eastAsia="Times New Roman" w:cs="Arial"/>
                <w:sz w:val="20"/>
                <w:szCs w:val="20"/>
                <w:lang w:val="el-GR"/>
              </w:rPr>
            </w:pPr>
            <w:r>
              <w:rPr>
                <w:rFonts w:eastAsia="Times New Roman" w:cs="Arial"/>
                <w:sz w:val="20"/>
                <w:szCs w:val="20"/>
                <w:lang w:val="el-GR"/>
              </w:rPr>
              <w:t>Αντικύθηρα και Πρασσονήσι, Λαγουβάρδος, Πλακουλήθρα και Θυμωνιές</w:t>
            </w:r>
          </w:p>
        </w:tc>
        <w:tc>
          <w:tcPr>
            <w:tcW w:w="614" w:type="pct"/>
          </w:tcPr>
          <w:p w14:paraId="2BD90629">
            <w:pPr>
              <w:overflowPunct w:val="0"/>
              <w:autoSpaceDE w:val="0"/>
              <w:autoSpaceDN w:val="0"/>
              <w:adjustRightInd w:val="0"/>
              <w:spacing w:before="60" w:after="60" w:line="259" w:lineRule="auto"/>
              <w:jc w:val="center"/>
              <w:textAlignment w:val="baseline"/>
              <w:rPr>
                <w:rFonts w:eastAsia="Times New Roman" w:cs="Arial"/>
                <w:sz w:val="20"/>
                <w:szCs w:val="20"/>
              </w:rPr>
            </w:pPr>
            <w:r>
              <w:rPr>
                <w:rFonts w:eastAsia="Times New Roman" w:cs="Arial"/>
                <w:sz w:val="20"/>
                <w:szCs w:val="20"/>
              </w:rPr>
              <w:t>ΖΕΠ</w:t>
            </w:r>
          </w:p>
        </w:tc>
      </w:tr>
      <w:tr w14:paraId="7A294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39" w:type="pct"/>
          </w:tcPr>
          <w:p w14:paraId="5FC885CF">
            <w:pPr>
              <w:overflowPunct w:val="0"/>
              <w:autoSpaceDE w:val="0"/>
              <w:autoSpaceDN w:val="0"/>
              <w:adjustRightInd w:val="0"/>
              <w:spacing w:before="60" w:after="60" w:line="259" w:lineRule="auto"/>
              <w:jc w:val="center"/>
              <w:textAlignment w:val="baseline"/>
              <w:rPr>
                <w:rFonts w:eastAsia="Times New Roman" w:cs="Arial"/>
                <w:sz w:val="20"/>
                <w:szCs w:val="20"/>
              </w:rPr>
            </w:pPr>
            <w:r>
              <w:rPr>
                <w:rFonts w:eastAsia="Times New Roman" w:cs="Arial"/>
                <w:sz w:val="20"/>
                <w:szCs w:val="20"/>
              </w:rPr>
              <w:t>GR3000013</w:t>
            </w:r>
          </w:p>
        </w:tc>
        <w:tc>
          <w:tcPr>
            <w:tcW w:w="3347" w:type="pct"/>
          </w:tcPr>
          <w:p w14:paraId="2AC23F8D">
            <w:pPr>
              <w:overflowPunct w:val="0"/>
              <w:autoSpaceDE w:val="0"/>
              <w:autoSpaceDN w:val="0"/>
              <w:adjustRightInd w:val="0"/>
              <w:spacing w:before="60" w:after="60" w:line="259" w:lineRule="auto"/>
              <w:textAlignment w:val="baseline"/>
              <w:rPr>
                <w:rFonts w:eastAsia="Times New Roman" w:cs="Arial"/>
                <w:sz w:val="20"/>
                <w:szCs w:val="20"/>
                <w:lang w:val="el-GR"/>
              </w:rPr>
            </w:pPr>
            <w:r>
              <w:rPr>
                <w:rFonts w:eastAsia="Times New Roman" w:cs="Arial"/>
                <w:sz w:val="20"/>
                <w:szCs w:val="20"/>
                <w:lang w:val="el-GR"/>
              </w:rPr>
              <w:t>Κύθηρα και Πρασσονήσι, Δραγονέρα, Αντιγραγονέρα, Αυγό, Καπέλλο, Κουφό και Φιδονήσι</w:t>
            </w:r>
          </w:p>
        </w:tc>
        <w:tc>
          <w:tcPr>
            <w:tcW w:w="614" w:type="pct"/>
          </w:tcPr>
          <w:p w14:paraId="790CC688">
            <w:pPr>
              <w:overflowPunct w:val="0"/>
              <w:autoSpaceDE w:val="0"/>
              <w:autoSpaceDN w:val="0"/>
              <w:adjustRightInd w:val="0"/>
              <w:spacing w:before="60" w:after="60" w:line="259" w:lineRule="auto"/>
              <w:jc w:val="center"/>
              <w:textAlignment w:val="baseline"/>
              <w:rPr>
                <w:rFonts w:eastAsia="Times New Roman" w:cs="Arial"/>
                <w:sz w:val="20"/>
                <w:szCs w:val="20"/>
              </w:rPr>
            </w:pPr>
            <w:r>
              <w:rPr>
                <w:rFonts w:eastAsia="Times New Roman" w:cs="Arial"/>
                <w:sz w:val="20"/>
                <w:szCs w:val="20"/>
              </w:rPr>
              <w:t>ΖΕΠ</w:t>
            </w:r>
          </w:p>
        </w:tc>
      </w:tr>
      <w:tr w14:paraId="0111A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39" w:type="pct"/>
          </w:tcPr>
          <w:p w14:paraId="1C72D5C5">
            <w:pPr>
              <w:overflowPunct w:val="0"/>
              <w:autoSpaceDE w:val="0"/>
              <w:autoSpaceDN w:val="0"/>
              <w:adjustRightInd w:val="0"/>
              <w:spacing w:before="60" w:after="60" w:line="259" w:lineRule="auto"/>
              <w:jc w:val="center"/>
              <w:textAlignment w:val="baseline"/>
              <w:rPr>
                <w:rFonts w:eastAsia="Times New Roman" w:cs="Arial"/>
                <w:sz w:val="20"/>
                <w:szCs w:val="20"/>
              </w:rPr>
            </w:pPr>
            <w:r>
              <w:rPr>
                <w:rFonts w:eastAsia="Times New Roman" w:cs="Arial"/>
                <w:sz w:val="20"/>
                <w:szCs w:val="20"/>
              </w:rPr>
              <w:t>GR3000019</w:t>
            </w:r>
          </w:p>
        </w:tc>
        <w:tc>
          <w:tcPr>
            <w:tcW w:w="3347" w:type="pct"/>
          </w:tcPr>
          <w:p w14:paraId="7C7FB251">
            <w:pPr>
              <w:overflowPunct w:val="0"/>
              <w:autoSpaceDE w:val="0"/>
              <w:autoSpaceDN w:val="0"/>
              <w:adjustRightInd w:val="0"/>
              <w:spacing w:before="60" w:after="60" w:line="259" w:lineRule="auto"/>
              <w:textAlignment w:val="baseline"/>
              <w:rPr>
                <w:rFonts w:eastAsia="Times New Roman" w:cs="Arial"/>
                <w:sz w:val="20"/>
                <w:szCs w:val="20"/>
              </w:rPr>
            </w:pPr>
            <w:r>
              <w:rPr>
                <w:rFonts w:eastAsia="Times New Roman" w:cs="Arial"/>
                <w:sz w:val="20"/>
                <w:szCs w:val="20"/>
              </w:rPr>
              <w:t>Θαλάσσια περιοχή Κυθήρων</w:t>
            </w:r>
          </w:p>
        </w:tc>
        <w:tc>
          <w:tcPr>
            <w:tcW w:w="614" w:type="pct"/>
          </w:tcPr>
          <w:p w14:paraId="49E8BFC4">
            <w:pPr>
              <w:overflowPunct w:val="0"/>
              <w:autoSpaceDE w:val="0"/>
              <w:autoSpaceDN w:val="0"/>
              <w:adjustRightInd w:val="0"/>
              <w:spacing w:before="60" w:after="60" w:line="259" w:lineRule="auto"/>
              <w:jc w:val="center"/>
              <w:textAlignment w:val="baseline"/>
              <w:rPr>
                <w:rFonts w:eastAsia="Times New Roman" w:cs="Arial"/>
                <w:sz w:val="20"/>
                <w:szCs w:val="20"/>
              </w:rPr>
            </w:pPr>
            <w:r>
              <w:rPr>
                <w:rFonts w:eastAsia="Times New Roman" w:cs="Arial"/>
                <w:sz w:val="20"/>
                <w:szCs w:val="20"/>
              </w:rPr>
              <w:t>ΖΕΠ</w:t>
            </w:r>
          </w:p>
        </w:tc>
      </w:tr>
    </w:tbl>
    <w:p w14:paraId="1CB01741">
      <w:pPr>
        <w:spacing w:after="0" w:line="259" w:lineRule="auto"/>
        <w:rPr>
          <w:rFonts w:cs="Arial"/>
          <w:sz w:val="20"/>
          <w:szCs w:val="20"/>
          <w:lang w:val="en-GB"/>
        </w:rPr>
      </w:pPr>
    </w:p>
    <w:p w14:paraId="2A78E604">
      <w:pPr>
        <w:spacing w:after="0" w:line="259" w:lineRule="auto"/>
        <w:rPr>
          <w:rFonts w:cs="Arial"/>
          <w:sz w:val="20"/>
          <w:szCs w:val="20"/>
          <w:lang w:val="el-GR"/>
        </w:rPr>
      </w:pPr>
      <w:r>
        <w:rPr>
          <w:rFonts w:cs="Arial"/>
          <w:sz w:val="20"/>
          <w:szCs w:val="20"/>
          <w:lang w:val="el-GR"/>
        </w:rPr>
        <w:t>ΕΖΔ: Ειδική Ζώνη Διατήρησης (οικότοποι και είδη πλην ορνιθοπανίδας)</w:t>
      </w:r>
    </w:p>
    <w:p w14:paraId="7B1CFEC7">
      <w:pPr>
        <w:spacing w:after="0" w:line="259" w:lineRule="auto"/>
        <w:rPr>
          <w:rFonts w:cs="Arial"/>
          <w:sz w:val="20"/>
          <w:szCs w:val="20"/>
          <w:lang w:val="el-GR"/>
        </w:rPr>
      </w:pPr>
      <w:r>
        <w:rPr>
          <w:rFonts w:cs="Arial"/>
          <w:sz w:val="20"/>
          <w:szCs w:val="20"/>
          <w:lang w:val="el-GR"/>
        </w:rPr>
        <w:t>ΖΕΠ: Ζώνη Ειδικής Προστασίας της ορνιθοπανίδας</w:t>
      </w:r>
    </w:p>
    <w:p w14:paraId="694D1489">
      <w:pPr>
        <w:pStyle w:val="14"/>
        <w:tabs>
          <w:tab w:val="left" w:pos="0"/>
        </w:tabs>
        <w:spacing w:after="120" w:line="259" w:lineRule="auto"/>
        <w:ind w:left="0"/>
        <w:contextualSpacing w:val="0"/>
        <w:jc w:val="both"/>
        <w:rPr>
          <w:rFonts w:cs="Arial"/>
          <w:b/>
          <w:sz w:val="20"/>
          <w:szCs w:val="20"/>
          <w:lang w:val="el-GR"/>
        </w:rPr>
      </w:pPr>
      <w:r>
        <w:rPr>
          <w:rFonts w:cs="Arial"/>
          <w:sz w:val="20"/>
          <w:szCs w:val="20"/>
          <w:lang w:val="el-GR"/>
        </w:rPr>
        <w:t>ΤΚΣ: Τόποι Κοινοτικής Σημασίας</w:t>
      </w:r>
    </w:p>
    <w:sectPr>
      <w:footerReference r:id="rId5" w:type="default"/>
      <w:footerReference r:id="rId6" w:type="even"/>
      <w:pgSz w:w="11906" w:h="16838"/>
      <w:pgMar w:top="142" w:right="1440" w:bottom="709" w:left="851" w:header="567" w:footer="283"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w:panose1 w:val="020F0502020204030204"/>
    <w:charset w:val="A1"/>
    <w:family w:val="swiss"/>
    <w:pitch w:val="default"/>
    <w:sig w:usb0="E4002EFF" w:usb1="C200247B" w:usb2="00000009" w:usb3="00000000" w:csb0="200001FF" w:csb1="00000000"/>
  </w:font>
  <w:font w:name="Aptos">
    <w:altName w:val="Liberation Mono"/>
    <w:panose1 w:val="00000000000000000000"/>
    <w:charset w:val="00"/>
    <w:family w:val="swiss"/>
    <w:pitch w:val="default"/>
    <w:sig w:usb0="00000000" w:usb1="00000000" w:usb2="00000000" w:usb3="00000000" w:csb0="0000019F" w:csb1="00000000"/>
  </w:font>
  <w:font w:name="Aptos Display">
    <w:altName w:val="Liberation Mono"/>
    <w:panose1 w:val="00000000000000000000"/>
    <w:charset w:val="00"/>
    <w:family w:val="swiss"/>
    <w:pitch w:val="default"/>
    <w:sig w:usb0="00000000" w:usb1="00000000" w:usb2="00000000" w:usb3="00000000" w:csb0="0000019F" w:csb1="00000000"/>
  </w:font>
  <w:font w:name="Segoe UI">
    <w:panose1 w:val="020B0502040204020203"/>
    <w:charset w:val="A1"/>
    <w:family w:val="swiss"/>
    <w:pitch w:val="default"/>
    <w:sig w:usb0="E4002EFF" w:usb1="C000E47F" w:usb2="00000009" w:usb3="00000000" w:csb0="200001FF" w:csb1="00000000"/>
  </w:font>
  <w:font w:name="Century Gothic">
    <w:altName w:val="Yu Gothic UI"/>
    <w:panose1 w:val="020B0502020202020204"/>
    <w:charset w:val="A1"/>
    <w:family w:val="swiss"/>
    <w:pitch w:val="default"/>
    <w:sig w:usb0="00000000" w:usb1="00000000" w:usb2="00000000" w:usb3="00000000" w:csb0="0000009F" w:csb1="00000000"/>
  </w:font>
  <w:font w:name="Arial">
    <w:panose1 w:val="020B0604020202020204"/>
    <w:charset w:val="A1"/>
    <w:family w:val="swiss"/>
    <w:pitch w:val="default"/>
    <w:sig w:usb0="E0002EFF" w:usb1="C000785B" w:usb2="00000009" w:usb3="00000000" w:csb0="400001FF" w:csb1="FFFF0000"/>
  </w:font>
  <w:font w:name="Courier New">
    <w:panose1 w:val="02070309020205020404"/>
    <w:charset w:val="A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Arial Narrow">
    <w:altName w:val="Arial"/>
    <w:panose1 w:val="020B0606020202030204"/>
    <w:charset w:val="00"/>
    <w:family w:val="swiss"/>
    <w:pitch w:val="default"/>
    <w:sig w:usb0="00000000" w:usb1="00000000" w:usb2="00000000" w:usb3="00000000" w:csb0="00000001" w:csb1="00000000"/>
  </w:font>
  <w:font w:name="Liberation Mono">
    <w:panose1 w:val="02070409020205020404"/>
    <w:charset w:val="00"/>
    <w:family w:val="auto"/>
    <w:pitch w:val="default"/>
    <w:sig w:usb0="E0000AFF" w:usb1="400078FF" w:usb2="00000001" w:usb3="00000000" w:csb0="600001BF" w:csb1="DF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970BC">
    <w:pPr>
      <w:pStyle w:val="6"/>
      <w:framePr w:wrap="auto" w:vAnchor="text" w:hAnchor="margin" w:xAlign="right" w:y="1"/>
      <w:rPr>
        <w:rStyle w:val="12"/>
        <w:sz w:val="20"/>
        <w:szCs w:val="20"/>
      </w:rPr>
    </w:pPr>
    <w:r>
      <w:rPr>
        <w:rStyle w:val="12"/>
        <w:sz w:val="20"/>
        <w:szCs w:val="20"/>
      </w:rPr>
      <w:fldChar w:fldCharType="begin"/>
    </w:r>
    <w:r>
      <w:rPr>
        <w:rStyle w:val="12"/>
        <w:sz w:val="20"/>
        <w:szCs w:val="20"/>
      </w:rPr>
      <w:instrText xml:space="preserve"> PAGE </w:instrText>
    </w:r>
    <w:r>
      <w:rPr>
        <w:rStyle w:val="12"/>
        <w:sz w:val="20"/>
        <w:szCs w:val="20"/>
      </w:rPr>
      <w:fldChar w:fldCharType="separate"/>
    </w:r>
    <w:r>
      <w:rPr>
        <w:rStyle w:val="12"/>
        <w:sz w:val="20"/>
        <w:szCs w:val="20"/>
      </w:rPr>
      <w:t>10</w:t>
    </w:r>
    <w:r>
      <w:rPr>
        <w:rStyle w:val="12"/>
        <w:sz w:val="20"/>
        <w:szCs w:val="20"/>
      </w:rPr>
      <w:fldChar w:fldCharType="end"/>
    </w:r>
  </w:p>
  <w:p w14:paraId="4176BE61">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4F9E7">
    <w:pPr>
      <w:pStyle w:val="6"/>
      <w:framePr w:wrap="auto" w:vAnchor="text" w:hAnchor="margin" w:xAlign="right" w:y="1"/>
      <w:rPr>
        <w:rStyle w:val="12"/>
      </w:rPr>
    </w:pPr>
    <w:r>
      <w:rPr>
        <w:rStyle w:val="12"/>
      </w:rPr>
      <w:fldChar w:fldCharType="begin"/>
    </w:r>
    <w:r>
      <w:rPr>
        <w:rStyle w:val="12"/>
      </w:rPr>
      <w:instrText xml:space="preserve"> PAGE </w:instrText>
    </w:r>
    <w:r>
      <w:rPr>
        <w:rStyle w:val="12"/>
      </w:rPr>
      <w:fldChar w:fldCharType="separate"/>
    </w:r>
    <w:r>
      <w:rPr>
        <w:rStyle w:val="12"/>
      </w:rPr>
      <w:t>1</w:t>
    </w:r>
    <w:r>
      <w:rPr>
        <w:rStyle w:val="12"/>
      </w:rPr>
      <w:fldChar w:fldCharType="end"/>
    </w:r>
  </w:p>
  <w:p w14:paraId="5BB3F260">
    <w:pPr>
      <w:pStyle w:val="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490DEE"/>
    <w:multiLevelType w:val="multilevel"/>
    <w:tmpl w:val="01490DEE"/>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34420BC6"/>
    <w:multiLevelType w:val="multilevel"/>
    <w:tmpl w:val="34420BC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5F953233"/>
    <w:multiLevelType w:val="multilevel"/>
    <w:tmpl w:val="5F953233"/>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6B283EBD"/>
    <w:multiLevelType w:val="multilevel"/>
    <w:tmpl w:val="6B283EBD"/>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715A4B60"/>
    <w:multiLevelType w:val="multilevel"/>
    <w:tmpl w:val="715A4B60"/>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72BC7416"/>
    <w:multiLevelType w:val="multilevel"/>
    <w:tmpl w:val="72BC7416"/>
    <w:lvl w:ilvl="0" w:tentative="0">
      <w:start w:val="1"/>
      <w:numFmt w:val="bullet"/>
      <w:lvlText w:val=""/>
      <w:lvlJc w:val="left"/>
      <w:pPr>
        <w:tabs>
          <w:tab w:val="left" w:pos="720"/>
        </w:tabs>
        <w:ind w:left="720" w:hanging="360"/>
      </w:pPr>
      <w:rPr>
        <w:rFonts w:hint="default" w:ascii="Wingdings" w:hAnsi="Wingdings"/>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79492C5B"/>
    <w:multiLevelType w:val="multilevel"/>
    <w:tmpl w:val="79492C5B"/>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6"/>
  </w:num>
  <w:num w:numId="2">
    <w:abstractNumId w:val="3"/>
  </w:num>
  <w:num w:numId="3">
    <w:abstractNumId w:val="2"/>
  </w:num>
  <w:num w:numId="4">
    <w:abstractNumId w:val="5"/>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CF7"/>
    <w:rsid w:val="00006862"/>
    <w:rsid w:val="00015286"/>
    <w:rsid w:val="000229B2"/>
    <w:rsid w:val="00026B9A"/>
    <w:rsid w:val="00031BFB"/>
    <w:rsid w:val="00033EFD"/>
    <w:rsid w:val="000354D3"/>
    <w:rsid w:val="00035B3B"/>
    <w:rsid w:val="00036CEA"/>
    <w:rsid w:val="00036F6F"/>
    <w:rsid w:val="00056CE3"/>
    <w:rsid w:val="00070EA0"/>
    <w:rsid w:val="000742C9"/>
    <w:rsid w:val="00090C31"/>
    <w:rsid w:val="00093B0A"/>
    <w:rsid w:val="000A0CA3"/>
    <w:rsid w:val="000B0F79"/>
    <w:rsid w:val="000D1038"/>
    <w:rsid w:val="000D653E"/>
    <w:rsid w:val="000E2B2A"/>
    <w:rsid w:val="000E7E70"/>
    <w:rsid w:val="000F1C67"/>
    <w:rsid w:val="00100A9D"/>
    <w:rsid w:val="001217F6"/>
    <w:rsid w:val="00122E29"/>
    <w:rsid w:val="00140748"/>
    <w:rsid w:val="00143344"/>
    <w:rsid w:val="00147C82"/>
    <w:rsid w:val="00155DBE"/>
    <w:rsid w:val="00156F6D"/>
    <w:rsid w:val="00164BFA"/>
    <w:rsid w:val="001715CF"/>
    <w:rsid w:val="0017459B"/>
    <w:rsid w:val="00181D37"/>
    <w:rsid w:val="00182272"/>
    <w:rsid w:val="00190070"/>
    <w:rsid w:val="001A100B"/>
    <w:rsid w:val="001A21B8"/>
    <w:rsid w:val="001B77DA"/>
    <w:rsid w:val="001C52AE"/>
    <w:rsid w:val="001C7F50"/>
    <w:rsid w:val="001D0A7C"/>
    <w:rsid w:val="001D3D90"/>
    <w:rsid w:val="001E43B0"/>
    <w:rsid w:val="001E7F8C"/>
    <w:rsid w:val="001F5531"/>
    <w:rsid w:val="002037EB"/>
    <w:rsid w:val="0020548D"/>
    <w:rsid w:val="00215F43"/>
    <w:rsid w:val="002224E8"/>
    <w:rsid w:val="00226285"/>
    <w:rsid w:val="00240DB7"/>
    <w:rsid w:val="00241B22"/>
    <w:rsid w:val="0024652B"/>
    <w:rsid w:val="002537E6"/>
    <w:rsid w:val="002557D0"/>
    <w:rsid w:val="00256361"/>
    <w:rsid w:val="00256A38"/>
    <w:rsid w:val="002635B0"/>
    <w:rsid w:val="0027036C"/>
    <w:rsid w:val="00277A0B"/>
    <w:rsid w:val="00280F37"/>
    <w:rsid w:val="00292DFA"/>
    <w:rsid w:val="002A3B86"/>
    <w:rsid w:val="002A3DB8"/>
    <w:rsid w:val="002A40A1"/>
    <w:rsid w:val="002A484A"/>
    <w:rsid w:val="002B02A1"/>
    <w:rsid w:val="002B1F21"/>
    <w:rsid w:val="002B28CA"/>
    <w:rsid w:val="002B5438"/>
    <w:rsid w:val="002C17B1"/>
    <w:rsid w:val="002C7265"/>
    <w:rsid w:val="002C7D68"/>
    <w:rsid w:val="002D4B13"/>
    <w:rsid w:val="002E3FB0"/>
    <w:rsid w:val="002E544A"/>
    <w:rsid w:val="002F2D8D"/>
    <w:rsid w:val="00305061"/>
    <w:rsid w:val="003116D5"/>
    <w:rsid w:val="00313F6F"/>
    <w:rsid w:val="00315E0A"/>
    <w:rsid w:val="00324A42"/>
    <w:rsid w:val="00333E64"/>
    <w:rsid w:val="00335714"/>
    <w:rsid w:val="0034368C"/>
    <w:rsid w:val="00350B09"/>
    <w:rsid w:val="00354A8F"/>
    <w:rsid w:val="00356821"/>
    <w:rsid w:val="00356CF0"/>
    <w:rsid w:val="003572F1"/>
    <w:rsid w:val="00361179"/>
    <w:rsid w:val="00366D64"/>
    <w:rsid w:val="00372AF2"/>
    <w:rsid w:val="003747F5"/>
    <w:rsid w:val="00374CC1"/>
    <w:rsid w:val="0038044A"/>
    <w:rsid w:val="00382E38"/>
    <w:rsid w:val="00383566"/>
    <w:rsid w:val="00386BCB"/>
    <w:rsid w:val="00387C1A"/>
    <w:rsid w:val="003920A7"/>
    <w:rsid w:val="00393520"/>
    <w:rsid w:val="00397735"/>
    <w:rsid w:val="003A2B32"/>
    <w:rsid w:val="003B4513"/>
    <w:rsid w:val="003B7854"/>
    <w:rsid w:val="003D5FE1"/>
    <w:rsid w:val="003D6B0E"/>
    <w:rsid w:val="003D7B62"/>
    <w:rsid w:val="003E01D6"/>
    <w:rsid w:val="003E1462"/>
    <w:rsid w:val="003F71C8"/>
    <w:rsid w:val="003F744D"/>
    <w:rsid w:val="004029B6"/>
    <w:rsid w:val="00405471"/>
    <w:rsid w:val="00407E44"/>
    <w:rsid w:val="004129B0"/>
    <w:rsid w:val="004135D3"/>
    <w:rsid w:val="00416C3F"/>
    <w:rsid w:val="004203A4"/>
    <w:rsid w:val="00426ED5"/>
    <w:rsid w:val="00444EF6"/>
    <w:rsid w:val="004511D7"/>
    <w:rsid w:val="00452035"/>
    <w:rsid w:val="004536E2"/>
    <w:rsid w:val="00456F9E"/>
    <w:rsid w:val="004652E5"/>
    <w:rsid w:val="00467A97"/>
    <w:rsid w:val="004758A3"/>
    <w:rsid w:val="00481DD5"/>
    <w:rsid w:val="00483B53"/>
    <w:rsid w:val="00485533"/>
    <w:rsid w:val="00490F1B"/>
    <w:rsid w:val="00493465"/>
    <w:rsid w:val="004A1F32"/>
    <w:rsid w:val="004A23A5"/>
    <w:rsid w:val="004D3D0A"/>
    <w:rsid w:val="0050726E"/>
    <w:rsid w:val="00513BBA"/>
    <w:rsid w:val="00515B50"/>
    <w:rsid w:val="005245E6"/>
    <w:rsid w:val="005274C1"/>
    <w:rsid w:val="005278F7"/>
    <w:rsid w:val="00535DC6"/>
    <w:rsid w:val="00536166"/>
    <w:rsid w:val="005378E4"/>
    <w:rsid w:val="00541E6D"/>
    <w:rsid w:val="00552049"/>
    <w:rsid w:val="005647A8"/>
    <w:rsid w:val="00573856"/>
    <w:rsid w:val="00580962"/>
    <w:rsid w:val="0058621A"/>
    <w:rsid w:val="00590B75"/>
    <w:rsid w:val="00590D58"/>
    <w:rsid w:val="005A4AA0"/>
    <w:rsid w:val="005A6111"/>
    <w:rsid w:val="005A6379"/>
    <w:rsid w:val="005B53F2"/>
    <w:rsid w:val="005B5DA8"/>
    <w:rsid w:val="005C1836"/>
    <w:rsid w:val="005C68E5"/>
    <w:rsid w:val="005C7E43"/>
    <w:rsid w:val="005F0A48"/>
    <w:rsid w:val="005F2864"/>
    <w:rsid w:val="005F5F67"/>
    <w:rsid w:val="005F6C31"/>
    <w:rsid w:val="005F771E"/>
    <w:rsid w:val="00601D7D"/>
    <w:rsid w:val="006224C0"/>
    <w:rsid w:val="006254CB"/>
    <w:rsid w:val="00630CC7"/>
    <w:rsid w:val="00634F53"/>
    <w:rsid w:val="0063527B"/>
    <w:rsid w:val="00636981"/>
    <w:rsid w:val="0065697D"/>
    <w:rsid w:val="00666795"/>
    <w:rsid w:val="00673B2E"/>
    <w:rsid w:val="00676365"/>
    <w:rsid w:val="00680D7C"/>
    <w:rsid w:val="006923DE"/>
    <w:rsid w:val="00693EBD"/>
    <w:rsid w:val="006954F0"/>
    <w:rsid w:val="00697D1B"/>
    <w:rsid w:val="006C2BAA"/>
    <w:rsid w:val="006C6D34"/>
    <w:rsid w:val="006D2682"/>
    <w:rsid w:val="006E1F9B"/>
    <w:rsid w:val="006E2212"/>
    <w:rsid w:val="00702062"/>
    <w:rsid w:val="007043E6"/>
    <w:rsid w:val="00706E08"/>
    <w:rsid w:val="00707798"/>
    <w:rsid w:val="00727605"/>
    <w:rsid w:val="00733B4E"/>
    <w:rsid w:val="00742364"/>
    <w:rsid w:val="00746B3E"/>
    <w:rsid w:val="007478F7"/>
    <w:rsid w:val="00755B04"/>
    <w:rsid w:val="0075725D"/>
    <w:rsid w:val="00761F78"/>
    <w:rsid w:val="00763052"/>
    <w:rsid w:val="00771359"/>
    <w:rsid w:val="0077279E"/>
    <w:rsid w:val="00794CA4"/>
    <w:rsid w:val="007979A7"/>
    <w:rsid w:val="007A3AC8"/>
    <w:rsid w:val="007B31B7"/>
    <w:rsid w:val="007C471D"/>
    <w:rsid w:val="007C4AF3"/>
    <w:rsid w:val="007D1F26"/>
    <w:rsid w:val="007D6293"/>
    <w:rsid w:val="007D7329"/>
    <w:rsid w:val="007F0714"/>
    <w:rsid w:val="007F4CF7"/>
    <w:rsid w:val="00801F33"/>
    <w:rsid w:val="008162B0"/>
    <w:rsid w:val="00816B49"/>
    <w:rsid w:val="00822D96"/>
    <w:rsid w:val="00822E40"/>
    <w:rsid w:val="008318BA"/>
    <w:rsid w:val="008373CB"/>
    <w:rsid w:val="00841BC4"/>
    <w:rsid w:val="00842C64"/>
    <w:rsid w:val="00850947"/>
    <w:rsid w:val="00880CB8"/>
    <w:rsid w:val="00890CDC"/>
    <w:rsid w:val="008A4759"/>
    <w:rsid w:val="008A61F2"/>
    <w:rsid w:val="008B684E"/>
    <w:rsid w:val="008B74D5"/>
    <w:rsid w:val="008D0DD4"/>
    <w:rsid w:val="008D25EC"/>
    <w:rsid w:val="008D3F41"/>
    <w:rsid w:val="008E02E6"/>
    <w:rsid w:val="008E5567"/>
    <w:rsid w:val="008F3A20"/>
    <w:rsid w:val="008F67A5"/>
    <w:rsid w:val="00915B84"/>
    <w:rsid w:val="00925F61"/>
    <w:rsid w:val="00945E68"/>
    <w:rsid w:val="00952025"/>
    <w:rsid w:val="00957204"/>
    <w:rsid w:val="00970051"/>
    <w:rsid w:val="00974BC2"/>
    <w:rsid w:val="00975A51"/>
    <w:rsid w:val="00977B6C"/>
    <w:rsid w:val="009808B1"/>
    <w:rsid w:val="00981270"/>
    <w:rsid w:val="0098778E"/>
    <w:rsid w:val="009942D6"/>
    <w:rsid w:val="009A6340"/>
    <w:rsid w:val="009B12D0"/>
    <w:rsid w:val="009C214E"/>
    <w:rsid w:val="009C5117"/>
    <w:rsid w:val="009E1E61"/>
    <w:rsid w:val="009E229A"/>
    <w:rsid w:val="009E38C0"/>
    <w:rsid w:val="009E3AEB"/>
    <w:rsid w:val="00A10508"/>
    <w:rsid w:val="00A10E44"/>
    <w:rsid w:val="00A31F98"/>
    <w:rsid w:val="00A358B4"/>
    <w:rsid w:val="00A36909"/>
    <w:rsid w:val="00A454DC"/>
    <w:rsid w:val="00A46462"/>
    <w:rsid w:val="00A477F3"/>
    <w:rsid w:val="00A5678B"/>
    <w:rsid w:val="00A6059E"/>
    <w:rsid w:val="00A6487E"/>
    <w:rsid w:val="00A6505F"/>
    <w:rsid w:val="00A67D5B"/>
    <w:rsid w:val="00A70A43"/>
    <w:rsid w:val="00A71173"/>
    <w:rsid w:val="00A74DD6"/>
    <w:rsid w:val="00A805D7"/>
    <w:rsid w:val="00A8504B"/>
    <w:rsid w:val="00A85E8C"/>
    <w:rsid w:val="00A92545"/>
    <w:rsid w:val="00AA09A3"/>
    <w:rsid w:val="00AA3D48"/>
    <w:rsid w:val="00AA4C94"/>
    <w:rsid w:val="00AB726A"/>
    <w:rsid w:val="00AB7AFD"/>
    <w:rsid w:val="00AC2ECD"/>
    <w:rsid w:val="00AC4F59"/>
    <w:rsid w:val="00AC5BC1"/>
    <w:rsid w:val="00AC6031"/>
    <w:rsid w:val="00AD137B"/>
    <w:rsid w:val="00AD3A6F"/>
    <w:rsid w:val="00AD6242"/>
    <w:rsid w:val="00AE611E"/>
    <w:rsid w:val="00AF35D8"/>
    <w:rsid w:val="00B111B5"/>
    <w:rsid w:val="00B11AEA"/>
    <w:rsid w:val="00B2059A"/>
    <w:rsid w:val="00B20E2B"/>
    <w:rsid w:val="00B275B1"/>
    <w:rsid w:val="00B31B46"/>
    <w:rsid w:val="00B40C91"/>
    <w:rsid w:val="00B46FF3"/>
    <w:rsid w:val="00B50DF1"/>
    <w:rsid w:val="00B602B2"/>
    <w:rsid w:val="00B67AAA"/>
    <w:rsid w:val="00B7639E"/>
    <w:rsid w:val="00B7662B"/>
    <w:rsid w:val="00B77D2E"/>
    <w:rsid w:val="00B811BA"/>
    <w:rsid w:val="00B8413D"/>
    <w:rsid w:val="00B93663"/>
    <w:rsid w:val="00BA5C30"/>
    <w:rsid w:val="00BA69A0"/>
    <w:rsid w:val="00BA6B54"/>
    <w:rsid w:val="00BB3E6D"/>
    <w:rsid w:val="00BB7BEC"/>
    <w:rsid w:val="00BC4440"/>
    <w:rsid w:val="00BC6AAB"/>
    <w:rsid w:val="00BD0791"/>
    <w:rsid w:val="00BD1717"/>
    <w:rsid w:val="00BD1A71"/>
    <w:rsid w:val="00BD3FEF"/>
    <w:rsid w:val="00BD6E18"/>
    <w:rsid w:val="00C016DF"/>
    <w:rsid w:val="00C01B56"/>
    <w:rsid w:val="00C14096"/>
    <w:rsid w:val="00C242B2"/>
    <w:rsid w:val="00C418A9"/>
    <w:rsid w:val="00C53569"/>
    <w:rsid w:val="00C70677"/>
    <w:rsid w:val="00C721CF"/>
    <w:rsid w:val="00C7466B"/>
    <w:rsid w:val="00C8102D"/>
    <w:rsid w:val="00C839BA"/>
    <w:rsid w:val="00C84649"/>
    <w:rsid w:val="00C8690B"/>
    <w:rsid w:val="00C97904"/>
    <w:rsid w:val="00CC0F49"/>
    <w:rsid w:val="00CC10A3"/>
    <w:rsid w:val="00CC44B7"/>
    <w:rsid w:val="00CC457C"/>
    <w:rsid w:val="00CD0291"/>
    <w:rsid w:val="00CE7938"/>
    <w:rsid w:val="00D01F5A"/>
    <w:rsid w:val="00D056D7"/>
    <w:rsid w:val="00D068A1"/>
    <w:rsid w:val="00D06D65"/>
    <w:rsid w:val="00D13453"/>
    <w:rsid w:val="00D1611E"/>
    <w:rsid w:val="00D25250"/>
    <w:rsid w:val="00D261B6"/>
    <w:rsid w:val="00D33C49"/>
    <w:rsid w:val="00D416E0"/>
    <w:rsid w:val="00D47082"/>
    <w:rsid w:val="00D52D06"/>
    <w:rsid w:val="00D535F6"/>
    <w:rsid w:val="00D5632A"/>
    <w:rsid w:val="00D67C07"/>
    <w:rsid w:val="00D72C27"/>
    <w:rsid w:val="00D746AF"/>
    <w:rsid w:val="00D9093E"/>
    <w:rsid w:val="00DA0A91"/>
    <w:rsid w:val="00DA1106"/>
    <w:rsid w:val="00DA6313"/>
    <w:rsid w:val="00DA6BDA"/>
    <w:rsid w:val="00DB26F1"/>
    <w:rsid w:val="00DC013E"/>
    <w:rsid w:val="00DC3732"/>
    <w:rsid w:val="00DD0B90"/>
    <w:rsid w:val="00DE65BF"/>
    <w:rsid w:val="00DF0012"/>
    <w:rsid w:val="00DF6C3A"/>
    <w:rsid w:val="00DF70CD"/>
    <w:rsid w:val="00E02A1A"/>
    <w:rsid w:val="00E247A5"/>
    <w:rsid w:val="00E30188"/>
    <w:rsid w:val="00E31532"/>
    <w:rsid w:val="00E31725"/>
    <w:rsid w:val="00E33221"/>
    <w:rsid w:val="00E43FBA"/>
    <w:rsid w:val="00E531D0"/>
    <w:rsid w:val="00E55276"/>
    <w:rsid w:val="00E63DA6"/>
    <w:rsid w:val="00E7187D"/>
    <w:rsid w:val="00E7203B"/>
    <w:rsid w:val="00EB1262"/>
    <w:rsid w:val="00EB37D3"/>
    <w:rsid w:val="00EC3EAA"/>
    <w:rsid w:val="00ED555D"/>
    <w:rsid w:val="00EE14C7"/>
    <w:rsid w:val="00EE3E93"/>
    <w:rsid w:val="00EF00BE"/>
    <w:rsid w:val="00F17A03"/>
    <w:rsid w:val="00F20393"/>
    <w:rsid w:val="00F33648"/>
    <w:rsid w:val="00F34E57"/>
    <w:rsid w:val="00F3525B"/>
    <w:rsid w:val="00F633FB"/>
    <w:rsid w:val="00F72500"/>
    <w:rsid w:val="00F72617"/>
    <w:rsid w:val="00F7439C"/>
    <w:rsid w:val="00F820F0"/>
    <w:rsid w:val="00F84FFD"/>
    <w:rsid w:val="00F93BA4"/>
    <w:rsid w:val="00FC4B92"/>
    <w:rsid w:val="00FC5AC8"/>
    <w:rsid w:val="00FC6C91"/>
    <w:rsid w:val="00FD2E33"/>
    <w:rsid w:val="00FD5966"/>
    <w:rsid w:val="00FE6D96"/>
    <w:rsid w:val="00FF676D"/>
    <w:rsid w:val="33875E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Aptos" w:hAnsi="Aptos" w:eastAsia="Aptos" w:cs="Times New Roman"/>
      <w:kern w:val="2"/>
      <w:sz w:val="24"/>
      <w:szCs w:val="24"/>
      <w:lang w:val="en-US" w:eastAsia="en-US" w:bidi="ar-SA"/>
    </w:rPr>
  </w:style>
  <w:style w:type="paragraph" w:styleId="2">
    <w:name w:val="heading 1"/>
    <w:basedOn w:val="1"/>
    <w:next w:val="1"/>
    <w:link w:val="28"/>
    <w:qFormat/>
    <w:uiPriority w:val="9"/>
    <w:pPr>
      <w:keepNext/>
      <w:keepLines/>
      <w:spacing w:before="360" w:after="80"/>
      <w:outlineLvl w:val="0"/>
    </w:pPr>
    <w:rPr>
      <w:rFonts w:ascii="Aptos Display" w:hAnsi="Aptos Display" w:eastAsia="Times New Roman"/>
      <w:color w:val="0F4761"/>
      <w:kern w:val="0"/>
      <w:sz w:val="40"/>
      <w:szCs w:val="40"/>
      <w:lang w:val="zh-CN" w:eastAsia="zh-CN"/>
    </w:rPr>
  </w:style>
  <w:style w:type="character" w:default="1" w:styleId="3">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5"/>
    <w:semiHidden/>
    <w:unhideWhenUsed/>
    <w:uiPriority w:val="99"/>
    <w:pPr>
      <w:spacing w:after="0" w:line="240" w:lineRule="auto"/>
    </w:pPr>
    <w:rPr>
      <w:rFonts w:ascii="Segoe UI" w:hAnsi="Segoe UI" w:eastAsia="Calibri"/>
      <w:kern w:val="0"/>
      <w:sz w:val="18"/>
      <w:szCs w:val="18"/>
      <w:lang w:val="zh-CN" w:eastAsia="zh-CN"/>
    </w:rPr>
  </w:style>
  <w:style w:type="paragraph" w:styleId="6">
    <w:name w:val="footer"/>
    <w:basedOn w:val="1"/>
    <w:link w:val="30"/>
    <w:unhideWhenUsed/>
    <w:qFormat/>
    <w:uiPriority w:val="99"/>
    <w:pPr>
      <w:tabs>
        <w:tab w:val="center" w:pos="4513"/>
        <w:tab w:val="right" w:pos="9026"/>
      </w:tabs>
    </w:pPr>
  </w:style>
  <w:style w:type="character" w:styleId="7">
    <w:name w:val="footnote reference"/>
    <w:semiHidden/>
    <w:unhideWhenUsed/>
    <w:uiPriority w:val="99"/>
    <w:rPr>
      <w:vertAlign w:val="superscript"/>
    </w:rPr>
  </w:style>
  <w:style w:type="paragraph" w:styleId="8">
    <w:name w:val="footnote text"/>
    <w:basedOn w:val="1"/>
    <w:link w:val="32"/>
    <w:semiHidden/>
    <w:unhideWhenUsed/>
    <w:uiPriority w:val="99"/>
    <w:rPr>
      <w:sz w:val="20"/>
      <w:szCs w:val="20"/>
    </w:rPr>
  </w:style>
  <w:style w:type="paragraph" w:styleId="9">
    <w:name w:val="header"/>
    <w:basedOn w:val="1"/>
    <w:link w:val="31"/>
    <w:unhideWhenUsed/>
    <w:uiPriority w:val="99"/>
    <w:pPr>
      <w:tabs>
        <w:tab w:val="center" w:pos="4153"/>
        <w:tab w:val="right" w:pos="8306"/>
      </w:tabs>
    </w:pPr>
  </w:style>
  <w:style w:type="character" w:styleId="10">
    <w:name w:val="Hyperlink"/>
    <w:unhideWhenUsed/>
    <w:uiPriority w:val="99"/>
    <w:rPr>
      <w:color w:val="0000FF"/>
      <w:u w:val="single"/>
    </w:rPr>
  </w:style>
  <w:style w:type="paragraph" w:styleId="11">
    <w:name w:val="Normal (Web)"/>
    <w:basedOn w:val="1"/>
    <w:unhideWhenUsed/>
    <w:uiPriority w:val="99"/>
    <w:pPr>
      <w:spacing w:before="100" w:beforeAutospacing="1" w:after="100" w:afterAutospacing="1" w:line="240" w:lineRule="auto"/>
    </w:pPr>
    <w:rPr>
      <w:rFonts w:ascii="Times New Roman" w:hAnsi="Times New Roman" w:eastAsia="Times New Roman"/>
      <w:lang w:eastAsia="el-GR"/>
    </w:rPr>
  </w:style>
  <w:style w:type="character" w:styleId="12">
    <w:name w:val="page number"/>
    <w:basedOn w:val="3"/>
    <w:semiHidden/>
    <w:unhideWhenUsed/>
    <w:uiPriority w:val="99"/>
  </w:style>
  <w:style w:type="character" w:styleId="13">
    <w:name w:val="Strong"/>
    <w:qFormat/>
    <w:uiPriority w:val="22"/>
    <w:rPr>
      <w:b/>
      <w:bCs/>
    </w:rPr>
  </w:style>
  <w:style w:type="paragraph" w:styleId="14">
    <w:name w:val="List Paragraph"/>
    <w:basedOn w:val="1"/>
    <w:link w:val="22"/>
    <w:qFormat/>
    <w:uiPriority w:val="34"/>
    <w:pPr>
      <w:ind w:left="720"/>
      <w:contextualSpacing/>
    </w:pPr>
  </w:style>
  <w:style w:type="character" w:customStyle="1" w:styleId="15">
    <w:name w:val="Κείμενο πλαισίου Char"/>
    <w:link w:val="5"/>
    <w:semiHidden/>
    <w:uiPriority w:val="99"/>
    <w:rPr>
      <w:rFonts w:ascii="Segoe UI" w:hAnsi="Segoe UI" w:cs="Segoe UI"/>
      <w:sz w:val="18"/>
      <w:szCs w:val="18"/>
    </w:rPr>
  </w:style>
  <w:style w:type="paragraph" w:customStyle="1" w:styleId="16">
    <w:name w:val="selectable-text"/>
    <w:basedOn w:val="1"/>
    <w:uiPriority w:val="0"/>
    <w:pPr>
      <w:spacing w:before="100" w:beforeAutospacing="1" w:after="100" w:afterAutospacing="1" w:line="240" w:lineRule="auto"/>
    </w:pPr>
    <w:rPr>
      <w:rFonts w:ascii="Times New Roman" w:hAnsi="Times New Roman" w:eastAsia="Times New Roman"/>
      <w:lang w:eastAsia="el-GR"/>
    </w:rPr>
  </w:style>
  <w:style w:type="character" w:customStyle="1" w:styleId="17">
    <w:name w:val="selectable-text1"/>
    <w:basedOn w:val="3"/>
    <w:qFormat/>
    <w:uiPriority w:val="0"/>
  </w:style>
  <w:style w:type="paragraph" w:customStyle="1" w:styleId="18">
    <w:name w:val="c-article-body__text"/>
    <w:basedOn w:val="1"/>
    <w:qFormat/>
    <w:uiPriority w:val="0"/>
    <w:pPr>
      <w:spacing w:before="100" w:beforeAutospacing="1" w:after="100" w:afterAutospacing="1" w:line="240" w:lineRule="auto"/>
    </w:pPr>
    <w:rPr>
      <w:rFonts w:ascii="Times New Roman" w:hAnsi="Times New Roman" w:eastAsia="Times New Roman"/>
      <w:lang w:eastAsia="el-GR"/>
    </w:rPr>
  </w:style>
  <w:style w:type="paragraph" w:customStyle="1" w:styleId="19">
    <w:name w:val="articleparagraph_root__4mszw"/>
    <w:basedOn w:val="1"/>
    <w:uiPriority w:val="0"/>
    <w:pPr>
      <w:spacing w:before="100" w:beforeAutospacing="1" w:after="100" w:afterAutospacing="1" w:line="240" w:lineRule="auto"/>
    </w:pPr>
    <w:rPr>
      <w:rFonts w:ascii="Times New Roman" w:hAnsi="Times New Roman" w:eastAsia="Times New Roman"/>
      <w:lang w:eastAsia="el-GR"/>
    </w:rPr>
  </w:style>
  <w:style w:type="character" w:customStyle="1" w:styleId="20">
    <w:name w:val="smallcaps"/>
    <w:basedOn w:val="3"/>
    <w:uiPriority w:val="0"/>
  </w:style>
  <w:style w:type="paragraph" w:customStyle="1" w:styleId="21">
    <w:name w:val="ssrcss-1q0x1qg-paragraph"/>
    <w:basedOn w:val="1"/>
    <w:uiPriority w:val="0"/>
    <w:pPr>
      <w:spacing w:before="100" w:beforeAutospacing="1" w:after="100" w:afterAutospacing="1" w:line="240" w:lineRule="auto"/>
    </w:pPr>
    <w:rPr>
      <w:rFonts w:ascii="Times New Roman" w:hAnsi="Times New Roman" w:eastAsia="Times New Roman"/>
      <w:lang w:eastAsia="el-GR"/>
    </w:rPr>
  </w:style>
  <w:style w:type="character" w:customStyle="1" w:styleId="22">
    <w:name w:val="Παράγραφος λίστας Char"/>
    <w:link w:val="14"/>
    <w:qFormat/>
    <w:locked/>
    <w:uiPriority w:val="34"/>
  </w:style>
  <w:style w:type="paragraph" w:customStyle="1" w:styleId="23">
    <w:name w:val="yiv9756760434msonormal"/>
    <w:basedOn w:val="1"/>
    <w:uiPriority w:val="0"/>
    <w:pPr>
      <w:spacing w:before="100" w:beforeAutospacing="1" w:after="100" w:afterAutospacing="1" w:line="240" w:lineRule="auto"/>
    </w:pPr>
    <w:rPr>
      <w:rFonts w:ascii="Times New Roman" w:hAnsi="Times New Roman" w:eastAsia="Times New Roman"/>
      <w:kern w:val="0"/>
      <w:lang w:val="el-GR" w:eastAsia="el-GR"/>
    </w:rPr>
  </w:style>
  <w:style w:type="paragraph" w:customStyle="1" w:styleId="24">
    <w:name w:val="yiv5822195653gmail-msolistparagraph"/>
    <w:basedOn w:val="1"/>
    <w:uiPriority w:val="0"/>
    <w:pPr>
      <w:spacing w:before="100" w:beforeAutospacing="1" w:after="100" w:afterAutospacing="1" w:line="240" w:lineRule="auto"/>
    </w:pPr>
    <w:rPr>
      <w:rFonts w:ascii="Times New Roman" w:hAnsi="Times New Roman" w:eastAsia="Times New Roman"/>
      <w:kern w:val="0"/>
      <w:lang w:val="el-GR" w:eastAsia="el-GR"/>
    </w:rPr>
  </w:style>
  <w:style w:type="paragraph" w:customStyle="1" w:styleId="25">
    <w:name w:val="yiv5822195653msonormal"/>
    <w:basedOn w:val="1"/>
    <w:uiPriority w:val="0"/>
    <w:pPr>
      <w:spacing w:before="100" w:beforeAutospacing="1" w:after="100" w:afterAutospacing="1" w:line="240" w:lineRule="auto"/>
    </w:pPr>
    <w:rPr>
      <w:rFonts w:ascii="Times New Roman" w:hAnsi="Times New Roman" w:eastAsia="Times New Roman"/>
      <w:kern w:val="0"/>
      <w:lang w:val="el-GR" w:eastAsia="el-GR"/>
    </w:rPr>
  </w:style>
  <w:style w:type="paragraph" w:customStyle="1" w:styleId="26">
    <w:name w:val="EPM_BODY TEXT"/>
    <w:basedOn w:val="1"/>
    <w:link w:val="27"/>
    <w:qFormat/>
    <w:uiPriority w:val="0"/>
    <w:pPr>
      <w:overflowPunct w:val="0"/>
      <w:autoSpaceDE w:val="0"/>
      <w:autoSpaceDN w:val="0"/>
      <w:adjustRightInd w:val="0"/>
      <w:spacing w:before="120" w:after="240" w:line="300" w:lineRule="atLeast"/>
      <w:jc w:val="both"/>
      <w:textAlignment w:val="baseline"/>
    </w:pPr>
    <w:rPr>
      <w:rFonts w:ascii="Century Gothic" w:hAnsi="Century Gothic" w:eastAsia="Times New Roman"/>
      <w:kern w:val="0"/>
      <w:sz w:val="20"/>
      <w:szCs w:val="20"/>
      <w:lang w:val="zh-CN" w:eastAsia="zh-CN"/>
    </w:rPr>
  </w:style>
  <w:style w:type="character" w:customStyle="1" w:styleId="27">
    <w:name w:val="EPM_BODY TEXT Char"/>
    <w:link w:val="26"/>
    <w:qFormat/>
    <w:uiPriority w:val="0"/>
    <w:rPr>
      <w:rFonts w:ascii="Century Gothic" w:hAnsi="Century Gothic" w:eastAsia="Times New Roman" w:cs="Times New Roman"/>
      <w:sz w:val="20"/>
      <w:szCs w:val="20"/>
      <w:lang w:val="zh-CN" w:eastAsia="zh-CN"/>
    </w:rPr>
  </w:style>
  <w:style w:type="character" w:customStyle="1" w:styleId="28">
    <w:name w:val="Επικεφαλίδα 1 Char"/>
    <w:link w:val="2"/>
    <w:uiPriority w:val="9"/>
    <w:rPr>
      <w:rFonts w:ascii="Aptos Display" w:hAnsi="Aptos Display" w:eastAsia="Times New Roman" w:cs="Times New Roman"/>
      <w:color w:val="0F4761"/>
      <w:sz w:val="40"/>
      <w:szCs w:val="40"/>
      <w:lang w:val="zh-CN" w:eastAsia="zh-CN"/>
    </w:rPr>
  </w:style>
  <w:style w:type="paragraph" w:customStyle="1" w:styleId="29">
    <w:name w:val="Revision"/>
    <w:hidden/>
    <w:semiHidden/>
    <w:qFormat/>
    <w:uiPriority w:val="99"/>
    <w:rPr>
      <w:rFonts w:ascii="Aptos" w:hAnsi="Aptos" w:eastAsia="Aptos" w:cs="Times New Roman"/>
      <w:kern w:val="2"/>
      <w:sz w:val="24"/>
      <w:szCs w:val="24"/>
      <w:lang w:val="en-US" w:eastAsia="en-US" w:bidi="ar-SA"/>
    </w:rPr>
  </w:style>
  <w:style w:type="character" w:customStyle="1" w:styleId="30">
    <w:name w:val="Υποσέλιδο Char"/>
    <w:link w:val="6"/>
    <w:uiPriority w:val="99"/>
    <w:rPr>
      <w:rFonts w:ascii="Aptos" w:hAnsi="Aptos" w:eastAsia="Aptos"/>
      <w:kern w:val="2"/>
      <w:sz w:val="24"/>
      <w:szCs w:val="24"/>
      <w:lang w:val="en-US" w:eastAsia="en-US"/>
    </w:rPr>
  </w:style>
  <w:style w:type="character" w:customStyle="1" w:styleId="31">
    <w:name w:val="Κεφαλίδα Char"/>
    <w:link w:val="9"/>
    <w:uiPriority w:val="99"/>
    <w:rPr>
      <w:rFonts w:ascii="Aptos" w:hAnsi="Aptos" w:eastAsia="Aptos"/>
      <w:kern w:val="2"/>
      <w:sz w:val="24"/>
      <w:szCs w:val="24"/>
      <w:lang w:val="en-US" w:eastAsia="en-US"/>
    </w:rPr>
  </w:style>
  <w:style w:type="character" w:customStyle="1" w:styleId="32">
    <w:name w:val="Κείμενο υποσημείωσης Char"/>
    <w:link w:val="8"/>
    <w:semiHidden/>
    <w:uiPriority w:val="99"/>
    <w:rPr>
      <w:rFonts w:ascii="Aptos" w:hAnsi="Aptos" w:eastAsia="Aptos"/>
      <w:kern w:val="2"/>
      <w:lang w:val="en-US"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4.jpe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B6449-07E1-4ADB-AE74-91507CEB590C}">
  <ds:schemaRefs/>
</ds:datastoreItem>
</file>

<file path=docProps/app.xml><?xml version="1.0" encoding="utf-8"?>
<Properties xmlns="http://schemas.openxmlformats.org/officeDocument/2006/extended-properties" xmlns:vt="http://schemas.openxmlformats.org/officeDocument/2006/docPropsVTypes">
  <Template>Normal</Template>
  <Pages>14</Pages>
  <Words>4177</Words>
  <Characters>22557</Characters>
  <Lines>187</Lines>
  <Paragraphs>53</Paragraphs>
  <TotalTime>1</TotalTime>
  <ScaleCrop>false</ScaleCrop>
  <LinksUpToDate>false</LinksUpToDate>
  <CharactersWithSpaces>26681</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2025-07-21T07:32:00Z</dcterms:created>
  <dc:creator>Aristotelia Peloni</dc:creator>
  <cp:lastModifiedBy>user</cp:lastModifiedBy>
  <cp:lastPrinted>2025-07-12T09:31:00Z</cp:lastPrinted>
  <dcterms:modified xsi:type="dcterms:W3CDTF">2025-07-21T07:50:15Z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056FA14D295741D4815148FC81F1C247_13</vt:lpwstr>
  </property>
</Properties>
</file>